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6020" w14:textId="57102D0C" w:rsidR="002023CF" w:rsidRPr="001B307D" w:rsidRDefault="00FF5975" w:rsidP="00BE2433">
      <w:pPr>
        <w:pStyle w:val="NoSpacing"/>
        <w:rPr>
          <w:b/>
          <w:bCs/>
          <w:i/>
          <w:iCs/>
          <w:color w:val="C00000"/>
          <w:lang w:val="en-GB"/>
        </w:rPr>
      </w:pPr>
      <w:r w:rsidRPr="001B307D">
        <w:rPr>
          <w:b/>
          <w:bCs/>
          <w:color w:val="C00000"/>
          <w:sz w:val="44"/>
          <w:szCs w:val="44"/>
          <w:lang w:val="en-GB"/>
        </w:rPr>
        <w:t>PRESS RELEASE</w:t>
      </w:r>
    </w:p>
    <w:p w14:paraId="40208314" w14:textId="77777777" w:rsidR="003E715E" w:rsidRDefault="003E715E" w:rsidP="00BE2433">
      <w:pPr>
        <w:pStyle w:val="NoSpacing"/>
        <w:rPr>
          <w:lang w:val="en-GB"/>
        </w:rPr>
      </w:pPr>
    </w:p>
    <w:p w14:paraId="0F00D84E" w14:textId="77777777" w:rsidR="003360C3" w:rsidRDefault="003360C3" w:rsidP="00BE2433">
      <w:pPr>
        <w:pStyle w:val="NoSpacing"/>
        <w:rPr>
          <w:lang w:val="en-GB"/>
        </w:rPr>
      </w:pPr>
    </w:p>
    <w:p w14:paraId="7753C881" w14:textId="77777777" w:rsidR="004C2371" w:rsidRPr="001B307D" w:rsidRDefault="004C2371" w:rsidP="00BE2433">
      <w:pPr>
        <w:pStyle w:val="NoSpacing"/>
        <w:rPr>
          <w:lang w:val="en-GB"/>
        </w:rPr>
      </w:pPr>
    </w:p>
    <w:p w14:paraId="62C1FC68" w14:textId="77777777" w:rsidR="003E715E" w:rsidRPr="001B307D" w:rsidRDefault="003E715E" w:rsidP="00BE2433">
      <w:pPr>
        <w:pStyle w:val="NoSpacing"/>
        <w:rPr>
          <w:lang w:val="en-GB"/>
        </w:rPr>
      </w:pPr>
    </w:p>
    <w:p w14:paraId="0B818D84" w14:textId="002B850F" w:rsidR="009C77B8" w:rsidRPr="001B307D" w:rsidRDefault="00FF5975" w:rsidP="00DE4177">
      <w:pPr>
        <w:pStyle w:val="NoSpacing"/>
        <w:jc w:val="right"/>
        <w:rPr>
          <w:lang w:val="en-GB"/>
        </w:rPr>
      </w:pPr>
      <w:r w:rsidRPr="001B307D">
        <w:rPr>
          <w:lang w:val="en-GB"/>
        </w:rPr>
        <w:t xml:space="preserve">Eindhoven (NL), </w:t>
      </w:r>
      <w:r w:rsidR="00260131">
        <w:rPr>
          <w:lang w:val="en-GB"/>
        </w:rPr>
        <w:t>8</w:t>
      </w:r>
      <w:r w:rsidR="006E74D3" w:rsidRPr="001B307D">
        <w:rPr>
          <w:lang w:val="en-GB"/>
        </w:rPr>
        <w:t xml:space="preserve"> </w:t>
      </w:r>
      <w:r w:rsidR="004E53A2">
        <w:rPr>
          <w:lang w:val="en-GB"/>
        </w:rPr>
        <w:t>Dec</w:t>
      </w:r>
      <w:r w:rsidR="008E01B5" w:rsidRPr="001B307D">
        <w:rPr>
          <w:lang w:val="en-GB"/>
        </w:rPr>
        <w:t>em</w:t>
      </w:r>
      <w:r w:rsidR="000728EA" w:rsidRPr="001B307D">
        <w:rPr>
          <w:lang w:val="en-GB"/>
        </w:rPr>
        <w:t>ber</w:t>
      </w:r>
      <w:r w:rsidRPr="001B307D">
        <w:rPr>
          <w:lang w:val="en-GB"/>
        </w:rPr>
        <w:t xml:space="preserve"> 202</w:t>
      </w:r>
      <w:r w:rsidR="00D65580" w:rsidRPr="001B307D">
        <w:rPr>
          <w:lang w:val="en-GB"/>
        </w:rPr>
        <w:t>5</w:t>
      </w:r>
      <w:r w:rsidRPr="001B307D">
        <w:rPr>
          <w:lang w:val="en-GB"/>
        </w:rPr>
        <w:t>.</w:t>
      </w:r>
    </w:p>
    <w:p w14:paraId="6088A771" w14:textId="09324A27" w:rsidR="00F7635C" w:rsidRDefault="00F7635C" w:rsidP="000246CE">
      <w:pPr>
        <w:rPr>
          <w:rFonts w:ascii="Aptos" w:eastAsia="Aptos" w:hAnsi="Aptos" w:cs="Aptos"/>
          <w:color w:val="FF0000"/>
          <w:kern w:val="0"/>
        </w:rPr>
      </w:pPr>
    </w:p>
    <w:p w14:paraId="51C8CC4C" w14:textId="77777777" w:rsidR="00E45144" w:rsidRDefault="00E45144" w:rsidP="000246CE">
      <w:pPr>
        <w:rPr>
          <w:rFonts w:ascii="Aptos" w:eastAsia="Aptos" w:hAnsi="Aptos" w:cs="Aptos"/>
          <w:color w:val="FF0000"/>
          <w:kern w:val="0"/>
        </w:rPr>
      </w:pPr>
    </w:p>
    <w:p w14:paraId="7F6C9767" w14:textId="77777777" w:rsidR="003360C3" w:rsidRDefault="003360C3" w:rsidP="00BE2433">
      <w:pPr>
        <w:pStyle w:val="NoSpacing"/>
        <w:rPr>
          <w:lang w:val="en-GB"/>
        </w:rPr>
      </w:pPr>
    </w:p>
    <w:p w14:paraId="2A570BF1" w14:textId="77777777" w:rsidR="004C2371" w:rsidRPr="001B307D" w:rsidRDefault="004C2371" w:rsidP="00BE2433">
      <w:pPr>
        <w:pStyle w:val="NoSpacing"/>
        <w:rPr>
          <w:lang w:val="en-GB"/>
        </w:rPr>
      </w:pPr>
    </w:p>
    <w:p w14:paraId="110CE084" w14:textId="4D9967C3" w:rsidR="001B307D" w:rsidRPr="001B307D" w:rsidRDefault="001B307D" w:rsidP="001B307D">
      <w:pPr>
        <w:pStyle w:val="NoSpacing"/>
        <w:rPr>
          <w:color w:val="C00000"/>
          <w:sz w:val="44"/>
          <w:szCs w:val="44"/>
          <w:lang w:val="en-GB"/>
        </w:rPr>
      </w:pP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Bleckmann </w:t>
      </w:r>
      <w:r w:rsidRPr="001B307D">
        <w:rPr>
          <w:b/>
          <w:bCs/>
          <w:color w:val="C00000"/>
          <w:sz w:val="44"/>
          <w:szCs w:val="44"/>
          <w:lang w:val="en-GB"/>
        </w:rPr>
        <w:t>e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xpands European </w:t>
      </w:r>
      <w:r w:rsidRPr="001B307D">
        <w:rPr>
          <w:b/>
          <w:bCs/>
          <w:color w:val="C00000"/>
          <w:sz w:val="44"/>
          <w:szCs w:val="44"/>
          <w:lang w:val="en-GB"/>
        </w:rPr>
        <w:t>f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ootprint with </w:t>
      </w:r>
      <w:r w:rsidRPr="001B307D">
        <w:rPr>
          <w:b/>
          <w:bCs/>
          <w:color w:val="C00000"/>
          <w:sz w:val="44"/>
          <w:szCs w:val="44"/>
          <w:lang w:val="en-GB"/>
        </w:rPr>
        <w:t>n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ew </w:t>
      </w:r>
      <w:r w:rsidRPr="001B307D">
        <w:rPr>
          <w:b/>
          <w:bCs/>
          <w:color w:val="C00000"/>
          <w:sz w:val="44"/>
          <w:szCs w:val="44"/>
          <w:lang w:val="en-GB"/>
        </w:rPr>
        <w:t>d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istribution </w:t>
      </w:r>
      <w:r w:rsidRPr="001B307D">
        <w:rPr>
          <w:b/>
          <w:bCs/>
          <w:color w:val="C00000"/>
          <w:sz w:val="44"/>
          <w:szCs w:val="44"/>
          <w:lang w:val="en-GB"/>
        </w:rPr>
        <w:t>c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>entr</w:t>
      </w:r>
      <w:r w:rsidRPr="001B307D">
        <w:rPr>
          <w:rFonts w:eastAsiaTheme="majorEastAsia"/>
          <w:b/>
          <w:bCs/>
          <w:color w:val="C00000"/>
          <w:sz w:val="44"/>
          <w:szCs w:val="44"/>
          <w:lang w:val="en-GB"/>
        </w:rPr>
        <w:t>e</w:t>
      </w:r>
      <w:r w:rsidRPr="00B07558">
        <w:rPr>
          <w:rFonts w:eastAsiaTheme="majorEastAsia"/>
          <w:b/>
          <w:bCs/>
          <w:color w:val="C00000"/>
          <w:sz w:val="44"/>
          <w:szCs w:val="44"/>
          <w:lang w:val="en-GB"/>
        </w:rPr>
        <w:t xml:space="preserve"> in Spain</w:t>
      </w:r>
    </w:p>
    <w:p w14:paraId="360DE40C" w14:textId="77777777" w:rsidR="001B307D" w:rsidRPr="001B307D" w:rsidRDefault="001B307D" w:rsidP="001B307D">
      <w:pPr>
        <w:pStyle w:val="NoSpacing"/>
        <w:rPr>
          <w:b/>
          <w:bCs/>
          <w:lang w:val="en-GB"/>
        </w:rPr>
      </w:pPr>
    </w:p>
    <w:p w14:paraId="4DF26DC3" w14:textId="58924665" w:rsidR="001B307D" w:rsidRPr="00B07558" w:rsidRDefault="001B307D" w:rsidP="001B307D">
      <w:pPr>
        <w:pStyle w:val="NoSpacing"/>
        <w:rPr>
          <w:lang w:val="en-GB"/>
        </w:rPr>
      </w:pPr>
      <w:r w:rsidRPr="00B07558">
        <w:rPr>
          <w:lang w:val="en-GB"/>
        </w:rPr>
        <w:t>Bleckmann, a leading supply chain management partner for fashion and lifestyle brands, proudly announces the opening of its new distribution centr</w:t>
      </w:r>
      <w:r w:rsidRPr="001B307D">
        <w:rPr>
          <w:lang w:val="en-GB"/>
        </w:rPr>
        <w:t>e</w:t>
      </w:r>
      <w:r w:rsidRPr="00B07558">
        <w:rPr>
          <w:lang w:val="en-GB"/>
        </w:rPr>
        <w:t xml:space="preserve"> (DC) in </w:t>
      </w:r>
      <w:r w:rsidR="00505B4F" w:rsidRPr="00B07558">
        <w:rPr>
          <w:rFonts w:eastAsiaTheme="majorEastAsia"/>
          <w:lang w:val="en-GB"/>
        </w:rPr>
        <w:t>Riudellots</w:t>
      </w:r>
      <w:r w:rsidR="00505B4F" w:rsidRPr="00B07558">
        <w:rPr>
          <w:lang w:val="en-GB"/>
        </w:rPr>
        <w:t xml:space="preserve"> </w:t>
      </w:r>
      <w:r w:rsidR="00773350">
        <w:rPr>
          <w:lang w:val="en-GB"/>
        </w:rPr>
        <w:t xml:space="preserve">- </w:t>
      </w:r>
      <w:r w:rsidRPr="00B07558">
        <w:rPr>
          <w:lang w:val="en-GB"/>
        </w:rPr>
        <w:t>Spain. This strategic expansion strengthens Bleckmann’s presence in Southern Europe and enhances its ability to serve clients with faster, more efficient logistics solutions.</w:t>
      </w:r>
    </w:p>
    <w:p w14:paraId="68699DAA" w14:textId="77777777" w:rsidR="001B307D" w:rsidRPr="001B307D" w:rsidRDefault="001B307D" w:rsidP="001B307D">
      <w:pPr>
        <w:pStyle w:val="NoSpacing"/>
        <w:rPr>
          <w:b/>
          <w:bCs/>
          <w:lang w:val="en-GB"/>
        </w:rPr>
      </w:pPr>
    </w:p>
    <w:p w14:paraId="36D27C11" w14:textId="77777777" w:rsidR="001B307D" w:rsidRPr="001B307D" w:rsidRDefault="001B307D" w:rsidP="001B307D">
      <w:pPr>
        <w:pStyle w:val="NoSpacing"/>
        <w:rPr>
          <w:lang w:val="en-GB"/>
        </w:rPr>
      </w:pP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 xml:space="preserve">Strategic </w:t>
      </w:r>
      <w:r w:rsidRPr="001B307D">
        <w:rPr>
          <w:b/>
          <w:bCs/>
          <w:color w:val="C00000"/>
          <w:sz w:val="24"/>
          <w:szCs w:val="24"/>
          <w:lang w:val="en-GB"/>
        </w:rPr>
        <w:t>l</w:t>
      </w: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 xml:space="preserve">ocation for </w:t>
      </w:r>
      <w:r w:rsidRPr="001B307D">
        <w:rPr>
          <w:b/>
          <w:bCs/>
          <w:color w:val="C00000"/>
          <w:sz w:val="24"/>
          <w:szCs w:val="24"/>
          <w:lang w:val="en-GB"/>
        </w:rPr>
        <w:t>s</w:t>
      </w: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 xml:space="preserve">eamless </w:t>
      </w:r>
      <w:r w:rsidRPr="001B307D">
        <w:rPr>
          <w:b/>
          <w:bCs/>
          <w:color w:val="C00000"/>
          <w:sz w:val="24"/>
          <w:szCs w:val="24"/>
          <w:lang w:val="en-GB"/>
        </w:rPr>
        <w:t>c</w:t>
      </w: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>onnectivity</w:t>
      </w:r>
      <w:r w:rsidRPr="00B07558">
        <w:rPr>
          <w:color w:val="C00000"/>
          <w:sz w:val="24"/>
          <w:szCs w:val="24"/>
          <w:lang w:val="en-GB"/>
        </w:rPr>
        <w:br/>
      </w:r>
      <w:r w:rsidRPr="00B07558">
        <w:rPr>
          <w:lang w:val="en-GB"/>
        </w:rPr>
        <w:t xml:space="preserve">The new facility is located at </w:t>
      </w:r>
      <w:r w:rsidRPr="00B07558">
        <w:rPr>
          <w:rFonts w:eastAsiaTheme="majorEastAsia"/>
          <w:lang w:val="en-GB"/>
        </w:rPr>
        <w:t>Riudellots de la Selva (Girona)</w:t>
      </w:r>
      <w:r w:rsidRPr="00B07558">
        <w:rPr>
          <w:lang w:val="en-GB"/>
        </w:rPr>
        <w:t>. Positioned for optimal accessibility, the site offers direct connections to major motorways AP-7</w:t>
      </w:r>
      <w:r w:rsidRPr="001B307D">
        <w:rPr>
          <w:lang w:val="en-GB"/>
        </w:rPr>
        <w:t xml:space="preserve"> &amp;</w:t>
      </w:r>
      <w:r w:rsidRPr="00B07558">
        <w:rPr>
          <w:lang w:val="en-GB"/>
        </w:rPr>
        <w:t xml:space="preserve"> C-35 and national roads N-II</w:t>
      </w:r>
      <w:r w:rsidRPr="001B307D">
        <w:rPr>
          <w:lang w:val="en-GB"/>
        </w:rPr>
        <w:t xml:space="preserve"> &amp;</w:t>
      </w:r>
      <w:r w:rsidRPr="00B07558">
        <w:rPr>
          <w:lang w:val="en-GB"/>
        </w:rPr>
        <w:t xml:space="preserve"> </w:t>
      </w:r>
    </w:p>
    <w:p w14:paraId="17121BBD" w14:textId="463C7B76" w:rsidR="001B307D" w:rsidRPr="00B07558" w:rsidRDefault="001B307D" w:rsidP="001B307D">
      <w:pPr>
        <w:pStyle w:val="NoSpacing"/>
        <w:rPr>
          <w:lang w:val="en-GB"/>
        </w:rPr>
      </w:pPr>
      <w:r w:rsidRPr="00B07558">
        <w:rPr>
          <w:lang w:val="en-GB"/>
        </w:rPr>
        <w:t>C-63). It is conveniently close to key transport hubs</w:t>
      </w:r>
      <w:r w:rsidRPr="001B307D">
        <w:rPr>
          <w:lang w:val="en-GB"/>
        </w:rPr>
        <w:t>, being</w:t>
      </w:r>
      <w:r w:rsidRPr="00B07558">
        <w:rPr>
          <w:lang w:val="en-GB"/>
        </w:rPr>
        <w:t xml:space="preserve">: </w:t>
      </w:r>
      <w:r w:rsidRPr="00B07558">
        <w:rPr>
          <w:rFonts w:eastAsiaTheme="majorEastAsia"/>
          <w:lang w:val="en-GB"/>
        </w:rPr>
        <w:t>Girona-Costa Brava Airport (GRO):</w:t>
      </w:r>
      <w:r w:rsidRPr="00B07558">
        <w:rPr>
          <w:lang w:val="en-GB"/>
        </w:rPr>
        <w:t xml:space="preserve"> 20 km</w:t>
      </w:r>
      <w:r w:rsidR="00F7635C">
        <w:rPr>
          <w:lang w:val="en-GB"/>
        </w:rPr>
        <w:t>,</w:t>
      </w:r>
      <w:r w:rsidR="00B24EB6">
        <w:rPr>
          <w:lang w:val="en-GB"/>
        </w:rPr>
        <w:t xml:space="preserve"> </w:t>
      </w:r>
      <w:r w:rsidRPr="00B07558">
        <w:rPr>
          <w:rFonts w:eastAsiaTheme="majorEastAsia"/>
          <w:lang w:val="en-GB"/>
        </w:rPr>
        <w:t>Port of Barcelona:</w:t>
      </w:r>
      <w:r w:rsidRPr="00B07558">
        <w:rPr>
          <w:lang w:val="en-GB"/>
        </w:rPr>
        <w:t xml:space="preserve"> 90 km</w:t>
      </w:r>
      <w:r w:rsidR="00B24EB6">
        <w:rPr>
          <w:lang w:val="en-GB"/>
        </w:rPr>
        <w:t xml:space="preserve">, </w:t>
      </w:r>
      <w:r w:rsidRPr="00B07558">
        <w:rPr>
          <w:rFonts w:eastAsiaTheme="majorEastAsia"/>
          <w:lang w:val="en-GB"/>
        </w:rPr>
        <w:t>Port of Tarragona:</w:t>
      </w:r>
      <w:r w:rsidRPr="00B07558">
        <w:rPr>
          <w:lang w:val="en-GB"/>
        </w:rPr>
        <w:t xml:space="preserve"> 180 km </w:t>
      </w:r>
      <w:r w:rsidR="00B24EB6">
        <w:rPr>
          <w:lang w:val="en-GB"/>
        </w:rPr>
        <w:t xml:space="preserve">and </w:t>
      </w:r>
      <w:r w:rsidRPr="00B07558">
        <w:rPr>
          <w:rFonts w:eastAsiaTheme="majorEastAsia"/>
          <w:lang w:val="en-GB"/>
        </w:rPr>
        <w:t>Girona Rail Freight Terminal:</w:t>
      </w:r>
      <w:r w:rsidRPr="00B07558">
        <w:rPr>
          <w:lang w:val="en-GB"/>
        </w:rPr>
        <w:t xml:space="preserve"> 30 km</w:t>
      </w:r>
      <w:r w:rsidR="00B24EB6">
        <w:rPr>
          <w:lang w:val="en-GB"/>
        </w:rPr>
        <w:t>.</w:t>
      </w:r>
      <w:r w:rsidRPr="00B07558">
        <w:rPr>
          <w:lang w:val="en-GB"/>
        </w:rPr>
        <w:t xml:space="preserve"> This prime location ensures smooth inbound and outbound flows across Spain and </w:t>
      </w:r>
      <w:r w:rsidRPr="001B307D">
        <w:rPr>
          <w:lang w:val="en-GB"/>
        </w:rPr>
        <w:t xml:space="preserve">other </w:t>
      </w:r>
      <w:r w:rsidRPr="00B07558">
        <w:rPr>
          <w:lang w:val="en-GB"/>
        </w:rPr>
        <w:t>international markets.</w:t>
      </w:r>
    </w:p>
    <w:p w14:paraId="2CBEDB0F" w14:textId="77777777" w:rsidR="001B307D" w:rsidRPr="001B307D" w:rsidRDefault="001B307D" w:rsidP="001B307D">
      <w:pPr>
        <w:pStyle w:val="NoSpacing"/>
        <w:rPr>
          <w:b/>
          <w:bCs/>
          <w:lang w:val="en-GB"/>
        </w:rPr>
      </w:pPr>
    </w:p>
    <w:p w14:paraId="30E6872C" w14:textId="77777777" w:rsidR="001B307D" w:rsidRPr="00B07558" w:rsidRDefault="001B307D" w:rsidP="001B307D">
      <w:pPr>
        <w:pStyle w:val="NoSpacing"/>
        <w:rPr>
          <w:color w:val="C00000"/>
          <w:sz w:val="24"/>
          <w:szCs w:val="24"/>
          <w:lang w:val="en-GB"/>
        </w:rPr>
      </w:pP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 xml:space="preserve">Facility </w:t>
      </w:r>
      <w:r w:rsidRPr="001B307D">
        <w:rPr>
          <w:b/>
          <w:bCs/>
          <w:color w:val="C00000"/>
          <w:sz w:val="24"/>
          <w:szCs w:val="24"/>
          <w:lang w:val="en-GB"/>
        </w:rPr>
        <w:t>h</w:t>
      </w: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>ighlights</w:t>
      </w:r>
      <w:r w:rsidRPr="00B07558">
        <w:rPr>
          <w:color w:val="C00000"/>
          <w:sz w:val="24"/>
          <w:szCs w:val="24"/>
          <w:lang w:val="en-GB"/>
        </w:rPr>
        <w:t xml:space="preserve"> </w:t>
      </w:r>
    </w:p>
    <w:p w14:paraId="20D07D4E" w14:textId="257E659D" w:rsidR="001B307D" w:rsidRDefault="00F9715F" w:rsidP="00F9715F">
      <w:pPr>
        <w:pStyle w:val="NoSpacing"/>
        <w:rPr>
          <w:lang w:val="en-GB"/>
        </w:rPr>
      </w:pPr>
      <w:r w:rsidRPr="00F9715F">
        <w:rPr>
          <w:lang w:val="en-GB"/>
        </w:rPr>
        <w:t xml:space="preserve">Bleckmann Riudellots de la Selva has a total storage capacity of 9,904 m² and is a multi-user site </w:t>
      </w:r>
      <w:r w:rsidR="004E53A2">
        <w:rPr>
          <w:lang w:val="en-GB"/>
        </w:rPr>
        <w:t xml:space="preserve"> </w:t>
      </w:r>
      <w:r w:rsidRPr="00F9715F">
        <w:rPr>
          <w:lang w:val="en-GB"/>
        </w:rPr>
        <w:t xml:space="preserve">with 10 loading docks. There is an advanced security systems including on-site personnel and CCTV. The automation is covert with unloading conveyors, RFID tunnels and 20 pallet trucks (stackers </w:t>
      </w:r>
      <w:r w:rsidR="009C0493">
        <w:rPr>
          <w:lang w:val="en-GB"/>
        </w:rPr>
        <w:t>–</w:t>
      </w:r>
      <w:r w:rsidRPr="00F9715F">
        <w:rPr>
          <w:lang w:val="en-GB"/>
        </w:rPr>
        <w:t xml:space="preserve"> retractables -  forklifts). The Bleckmann site is fully compliant with PCI standards and equipped with an activity license.  </w:t>
      </w:r>
    </w:p>
    <w:p w14:paraId="1AC4F8CC" w14:textId="77777777" w:rsidR="00F9715F" w:rsidRPr="00F9715F" w:rsidRDefault="00F9715F" w:rsidP="00F9715F">
      <w:pPr>
        <w:pStyle w:val="NoSpacing"/>
        <w:rPr>
          <w:lang w:val="en-GB"/>
        </w:rPr>
      </w:pPr>
    </w:p>
    <w:p w14:paraId="5BC7659F" w14:textId="5B3FA08E" w:rsidR="00E45144" w:rsidRPr="00E45144" w:rsidRDefault="001B307D" w:rsidP="00E45144">
      <w:pPr>
        <w:pStyle w:val="NoSpacing"/>
        <w:rPr>
          <w:lang w:val="en-GB"/>
        </w:rPr>
      </w:pP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 xml:space="preserve">Comprehensive </w:t>
      </w:r>
      <w:r w:rsidRPr="001B307D">
        <w:rPr>
          <w:b/>
          <w:bCs/>
          <w:color w:val="C00000"/>
          <w:sz w:val="24"/>
          <w:szCs w:val="24"/>
          <w:lang w:val="en-GB"/>
        </w:rPr>
        <w:t>s</w:t>
      </w: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>ervices</w:t>
      </w:r>
    </w:p>
    <w:p w14:paraId="09E143DF" w14:textId="7A3384E6" w:rsidR="001B307D" w:rsidRPr="00B07558" w:rsidRDefault="00E45144" w:rsidP="00E45144">
      <w:pPr>
        <w:pStyle w:val="NoSpacing"/>
        <w:rPr>
          <w:lang w:val="en-GB"/>
        </w:rPr>
      </w:pPr>
      <w:r w:rsidRPr="00E45144">
        <w:rPr>
          <w:lang w:val="en-GB"/>
        </w:rPr>
        <w:t>The Spanish Girona DC offers a full suite of value-added services, including: customs handling, customer assessment, quality control, labelling, bagging, Bleckmann’s Renewal Workshop, 3PL activities (inbound, pick</w:t>
      </w:r>
      <w:r w:rsidR="004E53A2">
        <w:rPr>
          <w:lang w:val="en-GB"/>
        </w:rPr>
        <w:t xml:space="preserve"> </w:t>
      </w:r>
      <w:r w:rsidRPr="00E45144">
        <w:rPr>
          <w:lang w:val="en-GB"/>
        </w:rPr>
        <w:t>&amp;</w:t>
      </w:r>
      <w:r w:rsidR="004E53A2">
        <w:rPr>
          <w:lang w:val="en-GB"/>
        </w:rPr>
        <w:t xml:space="preserve"> </w:t>
      </w:r>
      <w:r w:rsidRPr="00E45144">
        <w:rPr>
          <w:lang w:val="en-GB"/>
        </w:rPr>
        <w:t>pack, outbound, stock control) and returns management.</w:t>
      </w:r>
    </w:p>
    <w:p w14:paraId="21F56E26" w14:textId="77777777" w:rsidR="001B307D" w:rsidRPr="001B307D" w:rsidRDefault="001B307D" w:rsidP="001B307D">
      <w:pPr>
        <w:pStyle w:val="NoSpacing"/>
        <w:rPr>
          <w:b/>
          <w:bCs/>
          <w:lang w:val="en-GB"/>
        </w:rPr>
      </w:pPr>
    </w:p>
    <w:p w14:paraId="5F8F5AC1" w14:textId="77777777" w:rsidR="001B307D" w:rsidRPr="001B307D" w:rsidRDefault="001B307D" w:rsidP="001B307D">
      <w:pPr>
        <w:pStyle w:val="NoSpacing"/>
        <w:rPr>
          <w:lang w:val="en-GB"/>
        </w:rPr>
      </w:pPr>
      <w:r w:rsidRPr="00B07558">
        <w:rPr>
          <w:rFonts w:eastAsiaTheme="majorEastAsia"/>
          <w:b/>
          <w:bCs/>
          <w:color w:val="C00000"/>
          <w:sz w:val="24"/>
          <w:szCs w:val="24"/>
          <w:lang w:val="en-GB"/>
        </w:rPr>
        <w:t>Commitment to Clients</w:t>
      </w:r>
      <w:r w:rsidRPr="00B07558">
        <w:rPr>
          <w:lang w:val="en-GB"/>
        </w:rPr>
        <w:br/>
        <w:t xml:space="preserve">“This new distribution </w:t>
      </w:r>
      <w:r w:rsidRPr="001B307D">
        <w:rPr>
          <w:lang w:val="en-GB"/>
        </w:rPr>
        <w:t>centre</w:t>
      </w:r>
      <w:r w:rsidRPr="00B07558">
        <w:rPr>
          <w:lang w:val="en-GB"/>
        </w:rPr>
        <w:t xml:space="preserve"> reflects Bleckmann’s commitment to supporting our clients’ growth in </w:t>
      </w:r>
      <w:r w:rsidRPr="001B307D">
        <w:rPr>
          <w:lang w:val="en-GB"/>
        </w:rPr>
        <w:t xml:space="preserve">Spain and </w:t>
      </w:r>
      <w:r w:rsidRPr="00B07558">
        <w:rPr>
          <w:lang w:val="en-GB"/>
        </w:rPr>
        <w:t xml:space="preserve">Southern Europe,” said </w:t>
      </w:r>
      <w:r w:rsidRPr="001B307D">
        <w:rPr>
          <w:lang w:val="en-GB"/>
        </w:rPr>
        <w:t>Quentin Godfirnon, Chief Operations Officer Spain</w:t>
      </w:r>
      <w:r w:rsidRPr="00B07558">
        <w:rPr>
          <w:lang w:val="en-GB"/>
        </w:rPr>
        <w:t>. “Its strategic location and advanced capabilities will enable us to deliver faster, smarter, and more sustainable logistics solutions.”</w:t>
      </w:r>
    </w:p>
    <w:p w14:paraId="16CE7D98" w14:textId="77777777" w:rsidR="002023CF" w:rsidRPr="001B307D" w:rsidRDefault="002023CF" w:rsidP="00BE2433">
      <w:pPr>
        <w:pStyle w:val="NoSpacing"/>
        <w:rPr>
          <w:lang w:val="en-GB"/>
        </w:rPr>
      </w:pPr>
    </w:p>
    <w:p w14:paraId="1FAEC0E5" w14:textId="4E6D705A" w:rsidR="00AF29F1" w:rsidRPr="001B307D" w:rsidRDefault="00AF29F1" w:rsidP="00AF29F1">
      <w:pPr>
        <w:pStyle w:val="NoSpacing"/>
        <w:rPr>
          <w:b/>
          <w:bCs/>
          <w:lang w:val="en-GB"/>
        </w:rPr>
      </w:pPr>
    </w:p>
    <w:p w14:paraId="0E2AC1D3" w14:textId="77777777" w:rsidR="00AF29F1" w:rsidRPr="001B307D" w:rsidRDefault="00AF29F1" w:rsidP="00AF29F1">
      <w:pPr>
        <w:pStyle w:val="NoSpacing"/>
        <w:rPr>
          <w:sz w:val="24"/>
          <w:szCs w:val="24"/>
          <w:lang w:val="en-GB"/>
        </w:rPr>
      </w:pPr>
      <w:r w:rsidRPr="001B307D">
        <w:rPr>
          <w:b/>
          <w:bCs/>
          <w:color w:val="C00000"/>
          <w:sz w:val="24"/>
          <w:szCs w:val="24"/>
          <w:lang w:val="en-GB"/>
        </w:rPr>
        <w:lastRenderedPageBreak/>
        <w:t>About Bleckmann</w:t>
      </w:r>
    </w:p>
    <w:p w14:paraId="195A6AB6" w14:textId="6FA2040D" w:rsidR="00AF29F1" w:rsidRPr="004E53A2" w:rsidRDefault="00AF29F1" w:rsidP="00AF29F1">
      <w:pPr>
        <w:pStyle w:val="NoSpacing"/>
        <w:rPr>
          <w:lang w:val="en-GB"/>
        </w:rPr>
      </w:pPr>
      <w:r w:rsidRPr="004E53A2">
        <w:rPr>
          <w:lang w:val="en-GB"/>
        </w:rPr>
        <w:t>Bleckmann is a market leader in supply chain management (SCM) services for fashion and lifestyle brands. Founded in 1862, Bleckmann evolved from a transportation company to a provider of complete supply chain solutions with specific expertise in e-fulfilment. From its strong base in Europe, the company expanded into the US and Asia, enabling Bleckmann to serve c</w:t>
      </w:r>
      <w:r w:rsidR="001F17B6" w:rsidRPr="004E53A2">
        <w:rPr>
          <w:lang w:val="en-GB"/>
        </w:rPr>
        <w:t>lient</w:t>
      </w:r>
      <w:r w:rsidRPr="004E53A2">
        <w:rPr>
          <w:lang w:val="en-GB"/>
        </w:rPr>
        <w:t>s around the world. Its investments and extensive experience in IT solutions ensure that Bleckmann offers a unified platform to its c</w:t>
      </w:r>
      <w:r w:rsidR="00E778B5" w:rsidRPr="004E53A2">
        <w:rPr>
          <w:lang w:val="en-GB"/>
        </w:rPr>
        <w:t>lient</w:t>
      </w:r>
      <w:r w:rsidRPr="004E53A2">
        <w:rPr>
          <w:lang w:val="en-GB"/>
        </w:rPr>
        <w:t>s worldwide. Around 6500 team members are ready to support Bleckmann's c</w:t>
      </w:r>
      <w:r w:rsidR="00E778B5" w:rsidRPr="004E53A2">
        <w:rPr>
          <w:lang w:val="en-GB"/>
        </w:rPr>
        <w:t>lient</w:t>
      </w:r>
      <w:r w:rsidRPr="004E53A2">
        <w:rPr>
          <w:lang w:val="en-GB"/>
        </w:rPr>
        <w:t>s and fulfil their promises every day. With sales of 641 million euros (revenue 2024), Bleckmann has the scale and flexibility to provide world-class solutions for its c</w:t>
      </w:r>
      <w:r w:rsidR="0071368F" w:rsidRPr="004E53A2">
        <w:rPr>
          <w:lang w:val="en-GB"/>
        </w:rPr>
        <w:t>lient</w:t>
      </w:r>
      <w:r w:rsidRPr="004E53A2">
        <w:rPr>
          <w:lang w:val="en-GB"/>
        </w:rPr>
        <w:t xml:space="preserve">s. For more information, visit </w:t>
      </w:r>
      <w:hyperlink r:id="rId11" w:history="1">
        <w:r w:rsidRPr="004E53A2">
          <w:rPr>
            <w:rStyle w:val="Hyperlink"/>
            <w:b/>
            <w:bCs/>
            <w:lang w:val="en-GB"/>
          </w:rPr>
          <w:t>www.bleckmann.com</w:t>
        </w:r>
      </w:hyperlink>
      <w:r w:rsidRPr="004E53A2">
        <w:rPr>
          <w:lang w:val="en-GB"/>
        </w:rPr>
        <w:t xml:space="preserve">  </w:t>
      </w:r>
    </w:p>
    <w:p w14:paraId="387F91A8" w14:textId="77777777" w:rsidR="002A2587" w:rsidRDefault="002A2587" w:rsidP="00AF29F1">
      <w:pPr>
        <w:pStyle w:val="NoSpacing"/>
        <w:rPr>
          <w:b/>
          <w:bCs/>
          <w:lang w:val="en-GB"/>
        </w:rPr>
      </w:pPr>
    </w:p>
    <w:p w14:paraId="2345906E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4BC16242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30146574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19AF9FF0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2C33E374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4FF11F20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7BB7E6AE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44EB0CEE" w14:textId="77777777" w:rsidR="003360C3" w:rsidRDefault="003360C3" w:rsidP="00AF29F1">
      <w:pPr>
        <w:pStyle w:val="NoSpacing"/>
        <w:rPr>
          <w:b/>
          <w:bCs/>
          <w:lang w:val="en-GB"/>
        </w:rPr>
      </w:pPr>
    </w:p>
    <w:p w14:paraId="48A1912B" w14:textId="77777777" w:rsidR="003360C3" w:rsidRPr="001B307D" w:rsidRDefault="003360C3" w:rsidP="00AF29F1">
      <w:pPr>
        <w:pStyle w:val="NoSpacing"/>
        <w:rPr>
          <w:b/>
          <w:bCs/>
          <w:lang w:val="en-GB"/>
        </w:rPr>
      </w:pPr>
    </w:p>
    <w:p w14:paraId="5D5FB348" w14:textId="77777777" w:rsidR="00AF29F1" w:rsidRPr="001B307D" w:rsidRDefault="00AF29F1" w:rsidP="00AF29F1">
      <w:pPr>
        <w:pStyle w:val="NoSpacing"/>
        <w:rPr>
          <w:b/>
          <w:bCs/>
          <w:sz w:val="24"/>
          <w:szCs w:val="24"/>
          <w:lang w:val="en-GB"/>
        </w:rPr>
      </w:pPr>
      <w:r w:rsidRPr="001B307D">
        <w:rPr>
          <w:b/>
          <w:bCs/>
          <w:sz w:val="24"/>
          <w:szCs w:val="24"/>
          <w:lang w:val="en-GB"/>
        </w:rPr>
        <w:t>Media inquiries:</w:t>
      </w:r>
    </w:p>
    <w:p w14:paraId="3B6DACDE" w14:textId="77777777" w:rsidR="00AF29F1" w:rsidRPr="001B307D" w:rsidRDefault="00AF29F1" w:rsidP="00AF29F1">
      <w:pPr>
        <w:pStyle w:val="NoSpacing"/>
        <w:rPr>
          <w:b/>
          <w:bCs/>
          <w:sz w:val="21"/>
          <w:szCs w:val="21"/>
          <w:lang w:val="en-GB"/>
        </w:rPr>
      </w:pPr>
    </w:p>
    <w:p w14:paraId="798DA712" w14:textId="77777777" w:rsidR="00AF29F1" w:rsidRPr="001B307D" w:rsidRDefault="00AF29F1" w:rsidP="00772F6B">
      <w:pPr>
        <w:pStyle w:val="NoSpacing"/>
        <w:spacing w:line="276" w:lineRule="auto"/>
        <w:rPr>
          <w:sz w:val="21"/>
          <w:szCs w:val="21"/>
          <w:lang w:val="en-GB"/>
        </w:rPr>
      </w:pPr>
      <w:r w:rsidRPr="001B307D">
        <w:rPr>
          <w:b/>
          <w:bCs/>
          <w:sz w:val="21"/>
          <w:szCs w:val="21"/>
          <w:lang w:val="en-GB"/>
        </w:rPr>
        <w:t xml:space="preserve">Dorota Tankink | </w:t>
      </w:r>
      <w:r w:rsidRPr="001B307D">
        <w:rPr>
          <w:sz w:val="21"/>
          <w:szCs w:val="21"/>
          <w:lang w:val="en-GB"/>
        </w:rPr>
        <w:t xml:space="preserve">Bleckmann Marketing &amp; Communication Manager </w:t>
      </w:r>
    </w:p>
    <w:p w14:paraId="63899FCC" w14:textId="1A390EA3" w:rsidR="00AF29F1" w:rsidRPr="001B307D" w:rsidRDefault="00AF29F1" w:rsidP="00772F6B">
      <w:pPr>
        <w:pStyle w:val="NoSpacing"/>
        <w:spacing w:line="276" w:lineRule="auto"/>
        <w:rPr>
          <w:sz w:val="21"/>
          <w:szCs w:val="21"/>
          <w:lang w:val="en-GB"/>
        </w:rPr>
      </w:pPr>
      <w:r w:rsidRPr="001B307D">
        <w:rPr>
          <w:sz w:val="21"/>
          <w:szCs w:val="21"/>
          <w:lang w:val="en-GB"/>
        </w:rPr>
        <w:t xml:space="preserve">+31 6 3012 9759 | </w:t>
      </w:r>
      <w:hyperlink r:id="rId12" w:history="1">
        <w:r w:rsidRPr="001B307D">
          <w:rPr>
            <w:rStyle w:val="Hyperlink"/>
            <w:sz w:val="21"/>
            <w:szCs w:val="21"/>
            <w:lang w:val="en-GB"/>
          </w:rPr>
          <w:t>dorota.tankink@bleckmann.com</w:t>
        </w:r>
      </w:hyperlink>
      <w:r w:rsidRPr="001B307D">
        <w:rPr>
          <w:sz w:val="21"/>
          <w:szCs w:val="21"/>
          <w:lang w:val="en-GB"/>
        </w:rPr>
        <w:t xml:space="preserve"> </w:t>
      </w:r>
    </w:p>
    <w:p w14:paraId="1AC227D4" w14:textId="77777777" w:rsidR="001B307D" w:rsidRPr="001B307D" w:rsidRDefault="001B307D" w:rsidP="00772F6B">
      <w:pPr>
        <w:pStyle w:val="NoSpacing"/>
        <w:spacing w:line="276" w:lineRule="auto"/>
        <w:rPr>
          <w:sz w:val="21"/>
          <w:szCs w:val="21"/>
          <w:lang w:val="en-GB"/>
        </w:rPr>
      </w:pPr>
    </w:p>
    <w:p w14:paraId="31C449D9" w14:textId="46AA1855" w:rsidR="00AF29F1" w:rsidRPr="001B307D" w:rsidRDefault="00AF29F1" w:rsidP="00772F6B">
      <w:pPr>
        <w:pStyle w:val="NoSpacing"/>
        <w:spacing w:line="276" w:lineRule="auto"/>
        <w:rPr>
          <w:sz w:val="21"/>
          <w:szCs w:val="21"/>
          <w:lang w:val="en-GB"/>
        </w:rPr>
      </w:pPr>
      <w:r w:rsidRPr="001B307D">
        <w:rPr>
          <w:b/>
          <w:bCs/>
          <w:sz w:val="21"/>
          <w:szCs w:val="21"/>
          <w:lang w:val="en-GB"/>
        </w:rPr>
        <w:t xml:space="preserve">Gerard van der Zanden | </w:t>
      </w:r>
      <w:r w:rsidRPr="001B307D">
        <w:rPr>
          <w:sz w:val="21"/>
          <w:szCs w:val="21"/>
          <w:lang w:val="en-GB"/>
        </w:rPr>
        <w:t>Bleckmann Marketing &amp; Communication Coordinator</w:t>
      </w:r>
    </w:p>
    <w:p w14:paraId="2A924F6B" w14:textId="0B79D1CD" w:rsidR="00AF29F1" w:rsidRPr="002413F4" w:rsidRDefault="00AF29F1" w:rsidP="00772F6B">
      <w:pPr>
        <w:pStyle w:val="NoSpacing"/>
        <w:spacing w:line="276" w:lineRule="auto"/>
        <w:rPr>
          <w:sz w:val="21"/>
          <w:szCs w:val="21"/>
          <w:u w:val="single"/>
          <w:lang w:val="en-GB"/>
        </w:rPr>
      </w:pPr>
      <w:r w:rsidRPr="001B307D">
        <w:rPr>
          <w:sz w:val="21"/>
          <w:szCs w:val="21"/>
          <w:lang w:val="en-GB"/>
        </w:rPr>
        <w:t xml:space="preserve">+31 6 2258 6914 | </w:t>
      </w:r>
      <w:hyperlink r:id="rId13" w:history="1">
        <w:r w:rsidRPr="001B307D">
          <w:rPr>
            <w:rStyle w:val="Hyperlink"/>
            <w:sz w:val="21"/>
            <w:szCs w:val="21"/>
            <w:lang w:val="en-GB"/>
          </w:rPr>
          <w:t>gerard.vanderzanden@bleckmann.com</w:t>
        </w:r>
      </w:hyperlink>
      <w:r w:rsidRPr="001B307D">
        <w:rPr>
          <w:sz w:val="21"/>
          <w:szCs w:val="21"/>
          <w:u w:val="single"/>
          <w:lang w:val="en-GB"/>
        </w:rPr>
        <w:t xml:space="preserve"> </w:t>
      </w:r>
    </w:p>
    <w:sectPr w:rsidR="00AF29F1" w:rsidRPr="002413F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E02E" w14:textId="77777777" w:rsidR="00834016" w:rsidRPr="001B307D" w:rsidRDefault="00834016" w:rsidP="00FF5975">
      <w:r w:rsidRPr="001B307D">
        <w:separator/>
      </w:r>
    </w:p>
  </w:endnote>
  <w:endnote w:type="continuationSeparator" w:id="0">
    <w:p w14:paraId="3AF1724D" w14:textId="77777777" w:rsidR="00834016" w:rsidRPr="001B307D" w:rsidRDefault="00834016" w:rsidP="00FF5975">
      <w:r w:rsidRPr="001B307D">
        <w:continuationSeparator/>
      </w:r>
    </w:p>
  </w:endnote>
  <w:endnote w:type="continuationNotice" w:id="1">
    <w:p w14:paraId="25A4F6B2" w14:textId="77777777" w:rsidR="00834016" w:rsidRPr="001B307D" w:rsidRDefault="00834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3EAC" w14:textId="77777777" w:rsidR="00834016" w:rsidRPr="001B307D" w:rsidRDefault="00834016" w:rsidP="00FF5975">
      <w:r w:rsidRPr="001B307D">
        <w:separator/>
      </w:r>
    </w:p>
  </w:footnote>
  <w:footnote w:type="continuationSeparator" w:id="0">
    <w:p w14:paraId="10CD4AF8" w14:textId="77777777" w:rsidR="00834016" w:rsidRPr="001B307D" w:rsidRDefault="00834016" w:rsidP="00FF5975">
      <w:r w:rsidRPr="001B307D">
        <w:continuationSeparator/>
      </w:r>
    </w:p>
  </w:footnote>
  <w:footnote w:type="continuationNotice" w:id="1">
    <w:p w14:paraId="5C041D02" w14:textId="77777777" w:rsidR="00834016" w:rsidRPr="001B307D" w:rsidRDefault="00834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1B307D" w:rsidRDefault="00FF5975" w:rsidP="00FF5975">
    <w:pPr>
      <w:pStyle w:val="Header"/>
      <w:tabs>
        <w:tab w:val="right" w:pos="9540"/>
      </w:tabs>
      <w:ind w:left="-540" w:right="-517"/>
      <w:jc w:val="right"/>
      <w:rPr>
        <w:b/>
        <w:sz w:val="20"/>
      </w:rPr>
    </w:pPr>
    <w:r w:rsidRPr="001B307D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1B307D" w:rsidRDefault="00FF5975" w:rsidP="00FF5975">
    <w:pPr>
      <w:pStyle w:val="Header"/>
      <w:ind w:right="-517"/>
      <w:jc w:val="right"/>
      <w:rPr>
        <w:b/>
        <w:sz w:val="20"/>
      </w:rPr>
    </w:pPr>
    <w:r w:rsidRPr="001B307D">
      <w:rPr>
        <w:b/>
        <w:sz w:val="20"/>
      </w:rPr>
      <w:t xml:space="preserve">bleckmann.com </w:t>
    </w:r>
  </w:p>
  <w:p w14:paraId="7CA524FC" w14:textId="77777777" w:rsidR="00FF5975" w:rsidRPr="001B307D" w:rsidRDefault="00FF5975" w:rsidP="00FF5975">
    <w:pPr>
      <w:pStyle w:val="Header"/>
      <w:jc w:val="right"/>
      <w:rPr>
        <w:sz w:val="20"/>
      </w:rPr>
    </w:pPr>
  </w:p>
  <w:p w14:paraId="6688E456" w14:textId="77777777" w:rsidR="00FF5975" w:rsidRPr="001B307D" w:rsidRDefault="00FF5975" w:rsidP="00FF5975">
    <w:pPr>
      <w:pStyle w:val="Header"/>
      <w:jc w:val="right"/>
      <w:rPr>
        <w:sz w:val="20"/>
      </w:rPr>
    </w:pPr>
    <w:r w:rsidRPr="001B307D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DCC8A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Pr="001B307D" w:rsidRDefault="00FF5975" w:rsidP="00FF5975">
    <w:pPr>
      <w:pStyle w:val="Header"/>
      <w:jc w:val="right"/>
      <w:rPr>
        <w:sz w:val="20"/>
      </w:rPr>
    </w:pPr>
  </w:p>
  <w:p w14:paraId="14D8023F" w14:textId="77777777" w:rsidR="00FF5975" w:rsidRPr="001B307D" w:rsidRDefault="00FF5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96375"/>
    <w:multiLevelType w:val="multilevel"/>
    <w:tmpl w:val="ACF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00EF9"/>
    <w:multiLevelType w:val="multilevel"/>
    <w:tmpl w:val="33EAE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82E9E"/>
    <w:multiLevelType w:val="multilevel"/>
    <w:tmpl w:val="1A6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8"/>
  </w:num>
  <w:num w:numId="5" w16cid:durableId="513885944">
    <w:abstractNumId w:val="12"/>
  </w:num>
  <w:num w:numId="6" w16cid:durableId="2089964138">
    <w:abstractNumId w:val="10"/>
  </w:num>
  <w:num w:numId="7" w16cid:durableId="595551558">
    <w:abstractNumId w:val="11"/>
  </w:num>
  <w:num w:numId="8" w16cid:durableId="1365718119">
    <w:abstractNumId w:val="1"/>
  </w:num>
  <w:num w:numId="9" w16cid:durableId="1060513951">
    <w:abstractNumId w:val="9"/>
  </w:num>
  <w:num w:numId="10" w16cid:durableId="398091053">
    <w:abstractNumId w:val="5"/>
  </w:num>
  <w:num w:numId="11" w16cid:durableId="759259549">
    <w:abstractNumId w:val="6"/>
  </w:num>
  <w:num w:numId="12" w16cid:durableId="1589461686">
    <w:abstractNumId w:val="7"/>
  </w:num>
  <w:num w:numId="13" w16cid:durableId="21924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1916"/>
    <w:rsid w:val="00003C7F"/>
    <w:rsid w:val="00023697"/>
    <w:rsid w:val="00023D2C"/>
    <w:rsid w:val="000246CE"/>
    <w:rsid w:val="00026FD5"/>
    <w:rsid w:val="00030896"/>
    <w:rsid w:val="00036413"/>
    <w:rsid w:val="0004426E"/>
    <w:rsid w:val="00044C46"/>
    <w:rsid w:val="000517BE"/>
    <w:rsid w:val="0005573C"/>
    <w:rsid w:val="000617DE"/>
    <w:rsid w:val="0006370C"/>
    <w:rsid w:val="00064B83"/>
    <w:rsid w:val="0007067D"/>
    <w:rsid w:val="000728EA"/>
    <w:rsid w:val="000751EA"/>
    <w:rsid w:val="00080664"/>
    <w:rsid w:val="00090363"/>
    <w:rsid w:val="00094077"/>
    <w:rsid w:val="000A0854"/>
    <w:rsid w:val="000A175F"/>
    <w:rsid w:val="000A3890"/>
    <w:rsid w:val="000A3B62"/>
    <w:rsid w:val="000A6507"/>
    <w:rsid w:val="000C07DB"/>
    <w:rsid w:val="000C1874"/>
    <w:rsid w:val="000C7D17"/>
    <w:rsid w:val="000D1111"/>
    <w:rsid w:val="000E216B"/>
    <w:rsid w:val="000E7761"/>
    <w:rsid w:val="000F41EF"/>
    <w:rsid w:val="000F4866"/>
    <w:rsid w:val="00101F8C"/>
    <w:rsid w:val="001070A3"/>
    <w:rsid w:val="001129BA"/>
    <w:rsid w:val="00117894"/>
    <w:rsid w:val="00120AD8"/>
    <w:rsid w:val="001234FE"/>
    <w:rsid w:val="00123CB0"/>
    <w:rsid w:val="00124A07"/>
    <w:rsid w:val="00124C8B"/>
    <w:rsid w:val="001253B8"/>
    <w:rsid w:val="001261F6"/>
    <w:rsid w:val="001306E8"/>
    <w:rsid w:val="00131990"/>
    <w:rsid w:val="00132B42"/>
    <w:rsid w:val="00133658"/>
    <w:rsid w:val="001367CC"/>
    <w:rsid w:val="00137D77"/>
    <w:rsid w:val="001432B3"/>
    <w:rsid w:val="00143880"/>
    <w:rsid w:val="00165766"/>
    <w:rsid w:val="0017434C"/>
    <w:rsid w:val="00175561"/>
    <w:rsid w:val="001761CD"/>
    <w:rsid w:val="001768D1"/>
    <w:rsid w:val="00177086"/>
    <w:rsid w:val="00177640"/>
    <w:rsid w:val="00192F8B"/>
    <w:rsid w:val="00194D79"/>
    <w:rsid w:val="001952FC"/>
    <w:rsid w:val="001B239F"/>
    <w:rsid w:val="001B307D"/>
    <w:rsid w:val="001B5606"/>
    <w:rsid w:val="001C04FF"/>
    <w:rsid w:val="001C3671"/>
    <w:rsid w:val="001C77DC"/>
    <w:rsid w:val="001C7D59"/>
    <w:rsid w:val="001D51D7"/>
    <w:rsid w:val="001E11C6"/>
    <w:rsid w:val="001E5FB2"/>
    <w:rsid w:val="001F17B6"/>
    <w:rsid w:val="001F5F67"/>
    <w:rsid w:val="001F6A60"/>
    <w:rsid w:val="001F79B5"/>
    <w:rsid w:val="002023CF"/>
    <w:rsid w:val="00203A7C"/>
    <w:rsid w:val="0021433A"/>
    <w:rsid w:val="00222139"/>
    <w:rsid w:val="002256FC"/>
    <w:rsid w:val="00234A23"/>
    <w:rsid w:val="00237708"/>
    <w:rsid w:val="002413F4"/>
    <w:rsid w:val="00243809"/>
    <w:rsid w:val="00245E84"/>
    <w:rsid w:val="00251399"/>
    <w:rsid w:val="00257BB0"/>
    <w:rsid w:val="00260131"/>
    <w:rsid w:val="002603BE"/>
    <w:rsid w:val="00267B9B"/>
    <w:rsid w:val="0027296F"/>
    <w:rsid w:val="00284654"/>
    <w:rsid w:val="002A1E8C"/>
    <w:rsid w:val="002A2587"/>
    <w:rsid w:val="002B1CE4"/>
    <w:rsid w:val="002B549B"/>
    <w:rsid w:val="002B7A09"/>
    <w:rsid w:val="002C318E"/>
    <w:rsid w:val="002C3E0D"/>
    <w:rsid w:val="002E1863"/>
    <w:rsid w:val="002E67E8"/>
    <w:rsid w:val="003036EE"/>
    <w:rsid w:val="003061FC"/>
    <w:rsid w:val="00315586"/>
    <w:rsid w:val="00316772"/>
    <w:rsid w:val="00320FDA"/>
    <w:rsid w:val="00322BC4"/>
    <w:rsid w:val="00324E71"/>
    <w:rsid w:val="00325FE1"/>
    <w:rsid w:val="003360C3"/>
    <w:rsid w:val="00342CCD"/>
    <w:rsid w:val="00344169"/>
    <w:rsid w:val="00347C6B"/>
    <w:rsid w:val="00363BF9"/>
    <w:rsid w:val="00363CD6"/>
    <w:rsid w:val="00365E52"/>
    <w:rsid w:val="00367239"/>
    <w:rsid w:val="00374224"/>
    <w:rsid w:val="00374A7C"/>
    <w:rsid w:val="00374BAA"/>
    <w:rsid w:val="00385D6C"/>
    <w:rsid w:val="003910E3"/>
    <w:rsid w:val="003944DC"/>
    <w:rsid w:val="003B546C"/>
    <w:rsid w:val="003C1192"/>
    <w:rsid w:val="003C5BC9"/>
    <w:rsid w:val="003C7B08"/>
    <w:rsid w:val="003C7B17"/>
    <w:rsid w:val="003E0B86"/>
    <w:rsid w:val="003E615E"/>
    <w:rsid w:val="003E715E"/>
    <w:rsid w:val="003F511A"/>
    <w:rsid w:val="00401293"/>
    <w:rsid w:val="0042058B"/>
    <w:rsid w:val="0043110A"/>
    <w:rsid w:val="00431330"/>
    <w:rsid w:val="00433CD3"/>
    <w:rsid w:val="004371A9"/>
    <w:rsid w:val="00442D0D"/>
    <w:rsid w:val="00451FB5"/>
    <w:rsid w:val="00454800"/>
    <w:rsid w:val="00456400"/>
    <w:rsid w:val="00463BCF"/>
    <w:rsid w:val="00464AD2"/>
    <w:rsid w:val="004715A0"/>
    <w:rsid w:val="00472037"/>
    <w:rsid w:val="00476851"/>
    <w:rsid w:val="00483660"/>
    <w:rsid w:val="00485536"/>
    <w:rsid w:val="00490F53"/>
    <w:rsid w:val="004A726F"/>
    <w:rsid w:val="004A79E1"/>
    <w:rsid w:val="004C0C61"/>
    <w:rsid w:val="004C1F9E"/>
    <w:rsid w:val="004C2371"/>
    <w:rsid w:val="004D21FF"/>
    <w:rsid w:val="004E01B9"/>
    <w:rsid w:val="004E3602"/>
    <w:rsid w:val="004E487B"/>
    <w:rsid w:val="004E53A2"/>
    <w:rsid w:val="00504901"/>
    <w:rsid w:val="00505B4F"/>
    <w:rsid w:val="00516561"/>
    <w:rsid w:val="005204F2"/>
    <w:rsid w:val="00530E14"/>
    <w:rsid w:val="005416AE"/>
    <w:rsid w:val="00542E9F"/>
    <w:rsid w:val="005435C4"/>
    <w:rsid w:val="00546118"/>
    <w:rsid w:val="005570F7"/>
    <w:rsid w:val="00560217"/>
    <w:rsid w:val="00561C41"/>
    <w:rsid w:val="005666A0"/>
    <w:rsid w:val="005668D6"/>
    <w:rsid w:val="005713A9"/>
    <w:rsid w:val="00575611"/>
    <w:rsid w:val="00577FE6"/>
    <w:rsid w:val="0058254E"/>
    <w:rsid w:val="00586E82"/>
    <w:rsid w:val="00591595"/>
    <w:rsid w:val="00595F6F"/>
    <w:rsid w:val="005A4183"/>
    <w:rsid w:val="005A55D1"/>
    <w:rsid w:val="005A57B1"/>
    <w:rsid w:val="005B55F1"/>
    <w:rsid w:val="005C306B"/>
    <w:rsid w:val="005C354D"/>
    <w:rsid w:val="005D2468"/>
    <w:rsid w:val="005D48D3"/>
    <w:rsid w:val="005D7042"/>
    <w:rsid w:val="005F6353"/>
    <w:rsid w:val="005F669A"/>
    <w:rsid w:val="006026BC"/>
    <w:rsid w:val="00603B39"/>
    <w:rsid w:val="00605989"/>
    <w:rsid w:val="00612485"/>
    <w:rsid w:val="006159CA"/>
    <w:rsid w:val="00622610"/>
    <w:rsid w:val="006306DB"/>
    <w:rsid w:val="0063301A"/>
    <w:rsid w:val="00642F06"/>
    <w:rsid w:val="0064360D"/>
    <w:rsid w:val="00644B93"/>
    <w:rsid w:val="00644CDE"/>
    <w:rsid w:val="00650EF4"/>
    <w:rsid w:val="00653326"/>
    <w:rsid w:val="006570FB"/>
    <w:rsid w:val="00657C19"/>
    <w:rsid w:val="0066749B"/>
    <w:rsid w:val="00667E7A"/>
    <w:rsid w:val="006705BF"/>
    <w:rsid w:val="00675BD3"/>
    <w:rsid w:val="00694683"/>
    <w:rsid w:val="006963DD"/>
    <w:rsid w:val="00696D06"/>
    <w:rsid w:val="00697ECA"/>
    <w:rsid w:val="006A4650"/>
    <w:rsid w:val="006A5ADB"/>
    <w:rsid w:val="006A5ADF"/>
    <w:rsid w:val="006B5CE6"/>
    <w:rsid w:val="006D348C"/>
    <w:rsid w:val="006D6711"/>
    <w:rsid w:val="006D6C2F"/>
    <w:rsid w:val="006E74D3"/>
    <w:rsid w:val="006F6CA5"/>
    <w:rsid w:val="00700DCA"/>
    <w:rsid w:val="00707D5B"/>
    <w:rsid w:val="0071368F"/>
    <w:rsid w:val="00724195"/>
    <w:rsid w:val="00724479"/>
    <w:rsid w:val="007258BE"/>
    <w:rsid w:val="007311D5"/>
    <w:rsid w:val="0073579A"/>
    <w:rsid w:val="00742956"/>
    <w:rsid w:val="00747E1A"/>
    <w:rsid w:val="007514C1"/>
    <w:rsid w:val="007549CC"/>
    <w:rsid w:val="00757656"/>
    <w:rsid w:val="007577B1"/>
    <w:rsid w:val="00764719"/>
    <w:rsid w:val="007704DB"/>
    <w:rsid w:val="00772F6B"/>
    <w:rsid w:val="00773350"/>
    <w:rsid w:val="00777051"/>
    <w:rsid w:val="00780D7A"/>
    <w:rsid w:val="00786AC2"/>
    <w:rsid w:val="0078784B"/>
    <w:rsid w:val="007A10FD"/>
    <w:rsid w:val="007B6ED0"/>
    <w:rsid w:val="007C0398"/>
    <w:rsid w:val="007C0CBA"/>
    <w:rsid w:val="007C43B2"/>
    <w:rsid w:val="007D591A"/>
    <w:rsid w:val="007D6025"/>
    <w:rsid w:val="007D7DCF"/>
    <w:rsid w:val="007E031E"/>
    <w:rsid w:val="007E3201"/>
    <w:rsid w:val="007E4BA7"/>
    <w:rsid w:val="007E5101"/>
    <w:rsid w:val="007F1E07"/>
    <w:rsid w:val="0081519D"/>
    <w:rsid w:val="00822995"/>
    <w:rsid w:val="00824253"/>
    <w:rsid w:val="008250BF"/>
    <w:rsid w:val="00834016"/>
    <w:rsid w:val="008340A7"/>
    <w:rsid w:val="0083463F"/>
    <w:rsid w:val="0083729B"/>
    <w:rsid w:val="008544C4"/>
    <w:rsid w:val="00855A39"/>
    <w:rsid w:val="00862651"/>
    <w:rsid w:val="0086732E"/>
    <w:rsid w:val="00867F9D"/>
    <w:rsid w:val="008732F7"/>
    <w:rsid w:val="008746FC"/>
    <w:rsid w:val="008800C6"/>
    <w:rsid w:val="00880CF4"/>
    <w:rsid w:val="00881DB6"/>
    <w:rsid w:val="008A16F9"/>
    <w:rsid w:val="008B23D1"/>
    <w:rsid w:val="008B3A5E"/>
    <w:rsid w:val="008B6002"/>
    <w:rsid w:val="008C1398"/>
    <w:rsid w:val="008C2669"/>
    <w:rsid w:val="008C59A7"/>
    <w:rsid w:val="008C5E48"/>
    <w:rsid w:val="008D34FE"/>
    <w:rsid w:val="008D4CDF"/>
    <w:rsid w:val="008D7415"/>
    <w:rsid w:val="008E01B5"/>
    <w:rsid w:val="008E29F9"/>
    <w:rsid w:val="008E62DF"/>
    <w:rsid w:val="00906914"/>
    <w:rsid w:val="00907449"/>
    <w:rsid w:val="00917443"/>
    <w:rsid w:val="0092055D"/>
    <w:rsid w:val="00924198"/>
    <w:rsid w:val="00930E60"/>
    <w:rsid w:val="00960692"/>
    <w:rsid w:val="009633E0"/>
    <w:rsid w:val="00966DD8"/>
    <w:rsid w:val="00972412"/>
    <w:rsid w:val="00974359"/>
    <w:rsid w:val="00981028"/>
    <w:rsid w:val="0098190F"/>
    <w:rsid w:val="0098198A"/>
    <w:rsid w:val="0098573C"/>
    <w:rsid w:val="0098586D"/>
    <w:rsid w:val="0098645C"/>
    <w:rsid w:val="0099359E"/>
    <w:rsid w:val="0099489B"/>
    <w:rsid w:val="009A5F60"/>
    <w:rsid w:val="009A6DD2"/>
    <w:rsid w:val="009A7D9A"/>
    <w:rsid w:val="009B265C"/>
    <w:rsid w:val="009C0493"/>
    <w:rsid w:val="009C0E2C"/>
    <w:rsid w:val="009C3FA0"/>
    <w:rsid w:val="009C6EB8"/>
    <w:rsid w:val="009C77B8"/>
    <w:rsid w:val="009D2430"/>
    <w:rsid w:val="009D6088"/>
    <w:rsid w:val="009F0E54"/>
    <w:rsid w:val="009F158A"/>
    <w:rsid w:val="00A0020D"/>
    <w:rsid w:val="00A01C6C"/>
    <w:rsid w:val="00A04953"/>
    <w:rsid w:val="00A04CCB"/>
    <w:rsid w:val="00A050BF"/>
    <w:rsid w:val="00A06FD0"/>
    <w:rsid w:val="00A1480E"/>
    <w:rsid w:val="00A34281"/>
    <w:rsid w:val="00A366D3"/>
    <w:rsid w:val="00A37856"/>
    <w:rsid w:val="00A46DBD"/>
    <w:rsid w:val="00A47FEC"/>
    <w:rsid w:val="00A61683"/>
    <w:rsid w:val="00A71147"/>
    <w:rsid w:val="00A77F88"/>
    <w:rsid w:val="00A81F31"/>
    <w:rsid w:val="00A83EF0"/>
    <w:rsid w:val="00AA06D5"/>
    <w:rsid w:val="00AA5C8A"/>
    <w:rsid w:val="00AA7B55"/>
    <w:rsid w:val="00AB448E"/>
    <w:rsid w:val="00AB5DAB"/>
    <w:rsid w:val="00AC0E65"/>
    <w:rsid w:val="00AC1835"/>
    <w:rsid w:val="00AC7AD9"/>
    <w:rsid w:val="00AD062F"/>
    <w:rsid w:val="00AE3F66"/>
    <w:rsid w:val="00AE5061"/>
    <w:rsid w:val="00AF29F1"/>
    <w:rsid w:val="00AF5A44"/>
    <w:rsid w:val="00AF6D3F"/>
    <w:rsid w:val="00B0051F"/>
    <w:rsid w:val="00B03C52"/>
    <w:rsid w:val="00B04AEE"/>
    <w:rsid w:val="00B04AF3"/>
    <w:rsid w:val="00B12587"/>
    <w:rsid w:val="00B12E7B"/>
    <w:rsid w:val="00B15D56"/>
    <w:rsid w:val="00B24EB6"/>
    <w:rsid w:val="00B30026"/>
    <w:rsid w:val="00B34E61"/>
    <w:rsid w:val="00B35073"/>
    <w:rsid w:val="00B4330D"/>
    <w:rsid w:val="00B43E91"/>
    <w:rsid w:val="00B4426F"/>
    <w:rsid w:val="00B57F07"/>
    <w:rsid w:val="00B61426"/>
    <w:rsid w:val="00B75FC7"/>
    <w:rsid w:val="00B92719"/>
    <w:rsid w:val="00BA33B1"/>
    <w:rsid w:val="00BA6E95"/>
    <w:rsid w:val="00BA7DB5"/>
    <w:rsid w:val="00BB3F91"/>
    <w:rsid w:val="00BB5D61"/>
    <w:rsid w:val="00BB629E"/>
    <w:rsid w:val="00BD1DDE"/>
    <w:rsid w:val="00BD3AFF"/>
    <w:rsid w:val="00BD6A44"/>
    <w:rsid w:val="00BE2433"/>
    <w:rsid w:val="00BE32D7"/>
    <w:rsid w:val="00BE49D4"/>
    <w:rsid w:val="00C167CD"/>
    <w:rsid w:val="00C22282"/>
    <w:rsid w:val="00C25E66"/>
    <w:rsid w:val="00C3038A"/>
    <w:rsid w:val="00C31416"/>
    <w:rsid w:val="00C47FF1"/>
    <w:rsid w:val="00C5220D"/>
    <w:rsid w:val="00C65764"/>
    <w:rsid w:val="00C67216"/>
    <w:rsid w:val="00C70A3D"/>
    <w:rsid w:val="00C73DF5"/>
    <w:rsid w:val="00C76187"/>
    <w:rsid w:val="00C906C7"/>
    <w:rsid w:val="00C93182"/>
    <w:rsid w:val="00CA6842"/>
    <w:rsid w:val="00CB0240"/>
    <w:rsid w:val="00CB342E"/>
    <w:rsid w:val="00CB78ED"/>
    <w:rsid w:val="00CD4EDB"/>
    <w:rsid w:val="00CD677A"/>
    <w:rsid w:val="00CE3419"/>
    <w:rsid w:val="00CE5E26"/>
    <w:rsid w:val="00CE6E95"/>
    <w:rsid w:val="00CE7B4B"/>
    <w:rsid w:val="00CF4023"/>
    <w:rsid w:val="00CF42FB"/>
    <w:rsid w:val="00D12C88"/>
    <w:rsid w:val="00D31F23"/>
    <w:rsid w:val="00D32CA7"/>
    <w:rsid w:val="00D415D0"/>
    <w:rsid w:val="00D623B3"/>
    <w:rsid w:val="00D63DBB"/>
    <w:rsid w:val="00D646F3"/>
    <w:rsid w:val="00D65580"/>
    <w:rsid w:val="00D716E1"/>
    <w:rsid w:val="00DA3116"/>
    <w:rsid w:val="00DA3756"/>
    <w:rsid w:val="00DA412C"/>
    <w:rsid w:val="00DB7A1E"/>
    <w:rsid w:val="00DC197D"/>
    <w:rsid w:val="00DD2A9A"/>
    <w:rsid w:val="00DE0DCB"/>
    <w:rsid w:val="00DE3AE6"/>
    <w:rsid w:val="00DE4177"/>
    <w:rsid w:val="00E03C5C"/>
    <w:rsid w:val="00E04A41"/>
    <w:rsid w:val="00E107CA"/>
    <w:rsid w:val="00E10898"/>
    <w:rsid w:val="00E145FD"/>
    <w:rsid w:val="00E2032F"/>
    <w:rsid w:val="00E3380E"/>
    <w:rsid w:val="00E37148"/>
    <w:rsid w:val="00E435F2"/>
    <w:rsid w:val="00E45144"/>
    <w:rsid w:val="00E502B2"/>
    <w:rsid w:val="00E61926"/>
    <w:rsid w:val="00E623BC"/>
    <w:rsid w:val="00E64F88"/>
    <w:rsid w:val="00E67FC0"/>
    <w:rsid w:val="00E73148"/>
    <w:rsid w:val="00E778B5"/>
    <w:rsid w:val="00E77B2D"/>
    <w:rsid w:val="00E81FD3"/>
    <w:rsid w:val="00E8447C"/>
    <w:rsid w:val="00E90243"/>
    <w:rsid w:val="00E91734"/>
    <w:rsid w:val="00E966D8"/>
    <w:rsid w:val="00EA1EB5"/>
    <w:rsid w:val="00EA238B"/>
    <w:rsid w:val="00EA6E12"/>
    <w:rsid w:val="00EB1FC5"/>
    <w:rsid w:val="00EB2507"/>
    <w:rsid w:val="00EB25E4"/>
    <w:rsid w:val="00EC3458"/>
    <w:rsid w:val="00EC5609"/>
    <w:rsid w:val="00ED0FA2"/>
    <w:rsid w:val="00ED459A"/>
    <w:rsid w:val="00ED6B0C"/>
    <w:rsid w:val="00EE12E1"/>
    <w:rsid w:val="00EF35F2"/>
    <w:rsid w:val="00F24203"/>
    <w:rsid w:val="00F24328"/>
    <w:rsid w:val="00F359B9"/>
    <w:rsid w:val="00F45983"/>
    <w:rsid w:val="00F47622"/>
    <w:rsid w:val="00F528C9"/>
    <w:rsid w:val="00F53B78"/>
    <w:rsid w:val="00F54F77"/>
    <w:rsid w:val="00F5570E"/>
    <w:rsid w:val="00F749DD"/>
    <w:rsid w:val="00F7568E"/>
    <w:rsid w:val="00F7635C"/>
    <w:rsid w:val="00F91A70"/>
    <w:rsid w:val="00F92587"/>
    <w:rsid w:val="00F9715F"/>
    <w:rsid w:val="00FA15C7"/>
    <w:rsid w:val="00FA167C"/>
    <w:rsid w:val="00FB60DB"/>
    <w:rsid w:val="00FD535C"/>
    <w:rsid w:val="00FE4ADF"/>
    <w:rsid w:val="00FE5CD1"/>
    <w:rsid w:val="00FE66E2"/>
    <w:rsid w:val="00FF1882"/>
    <w:rsid w:val="00FF5975"/>
    <w:rsid w:val="00FF7034"/>
    <w:rsid w:val="00FF7D62"/>
    <w:rsid w:val="266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975"/>
  </w:style>
  <w:style w:type="paragraph" w:styleId="Footer">
    <w:name w:val="footer"/>
    <w:basedOn w:val="Normal"/>
    <w:link w:val="Foot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975"/>
  </w:style>
  <w:style w:type="character" w:styleId="CommentReference">
    <w:name w:val="annotation reference"/>
    <w:basedOn w:val="DefaultParagraphFont"/>
    <w:uiPriority w:val="99"/>
    <w:semiHidden/>
    <w:unhideWhenUsed/>
    <w:rsid w:val="00EE1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2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568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4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rard.vanderzanden@bleckman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tankink@bleckman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eckman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60cfbab6da4fd6d9e2fb4e254c7aa6fc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a7832da61b2ac1ab272e9c9230e0ba83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customXml/itemProps2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FDD86-4310-43E4-A7C1-936921699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E06B5-D0C1-4F1A-885D-AFBB7C99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30" baseType="variant"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mailto:Geraldine.Maunier-Rossi@hm.com</vt:lpwstr>
      </vt:variant>
      <vt:variant>
        <vt:lpwstr/>
      </vt:variant>
      <vt:variant>
        <vt:i4>5898283</vt:i4>
      </vt:variant>
      <vt:variant>
        <vt:i4>9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http://www.hmgroup.com/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/>
  <dc:description/>
  <cp:lastModifiedBy>Mary Anelsa Lao</cp:lastModifiedBy>
  <cp:revision>2</cp:revision>
  <cp:lastPrinted>2024-10-25T22:10:00Z</cp:lastPrinted>
  <dcterms:created xsi:type="dcterms:W3CDTF">2025-12-08T08:17:00Z</dcterms:created>
  <dcterms:modified xsi:type="dcterms:W3CDTF">2025-12-08T08:17:00Z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