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6DE0" w14:textId="77777777" w:rsidR="00B77D47" w:rsidRPr="00434364" w:rsidRDefault="00B77D47" w:rsidP="00434364">
      <w:pPr>
        <w:pStyle w:val="Geenafstand"/>
        <w:rPr>
          <w:rFonts w:eastAsiaTheme="majorEastAsia"/>
          <w:b/>
          <w:bCs/>
          <w:color w:val="C00000"/>
          <w:sz w:val="44"/>
          <w:szCs w:val="44"/>
          <w:lang w:val="es-ES"/>
        </w:rPr>
      </w:pPr>
      <w:r w:rsidRPr="00434364">
        <w:rPr>
          <w:rFonts w:eastAsiaTheme="majorEastAsia"/>
          <w:b/>
          <w:bCs/>
          <w:color w:val="C00000"/>
          <w:sz w:val="44"/>
          <w:szCs w:val="44"/>
          <w:lang w:val="es-ES"/>
        </w:rPr>
        <w:t>COMUNICADO DE PRENSA</w:t>
      </w:r>
    </w:p>
    <w:p w14:paraId="543B15F9" w14:textId="77777777" w:rsidR="00B77D47" w:rsidRPr="00B77D47" w:rsidRDefault="00B77D47" w:rsidP="00434364">
      <w:pPr>
        <w:pStyle w:val="Geenafstand"/>
        <w:rPr>
          <w:rFonts w:eastAsiaTheme="majorEastAsia"/>
          <w:lang w:val="es-ES"/>
        </w:rPr>
      </w:pPr>
    </w:p>
    <w:p w14:paraId="79C6C500" w14:textId="77777777" w:rsidR="00B77D47" w:rsidRPr="00B77D47" w:rsidRDefault="00B77D47" w:rsidP="00434364">
      <w:pPr>
        <w:pStyle w:val="Geenafstand"/>
        <w:rPr>
          <w:rFonts w:eastAsiaTheme="majorEastAsia"/>
          <w:lang w:val="es-ES"/>
        </w:rPr>
      </w:pPr>
    </w:p>
    <w:p w14:paraId="59807F25" w14:textId="77777777" w:rsidR="00B77D47" w:rsidRPr="00B77D47" w:rsidRDefault="00B77D47" w:rsidP="00434364">
      <w:pPr>
        <w:pStyle w:val="Geenafstand"/>
        <w:rPr>
          <w:rFonts w:eastAsiaTheme="majorEastAsia"/>
          <w:lang w:val="es-ES"/>
        </w:rPr>
      </w:pPr>
    </w:p>
    <w:p w14:paraId="319A88E2" w14:textId="77777777" w:rsidR="00B77D47" w:rsidRPr="00B77D47" w:rsidRDefault="00B77D47" w:rsidP="00434364">
      <w:pPr>
        <w:pStyle w:val="Geenafstand"/>
        <w:jc w:val="right"/>
        <w:rPr>
          <w:rFonts w:eastAsiaTheme="majorEastAsia"/>
          <w:lang w:val="es-ES"/>
        </w:rPr>
      </w:pPr>
      <w:r w:rsidRPr="00B77D47">
        <w:rPr>
          <w:rFonts w:eastAsiaTheme="majorEastAsia"/>
          <w:lang w:val="es-ES"/>
        </w:rPr>
        <w:t>Eindhoven (Países Bajos), 7 de octubre de 2025.</w:t>
      </w:r>
    </w:p>
    <w:p w14:paraId="108202CC" w14:textId="77777777" w:rsidR="00B77D47" w:rsidRPr="00B77D47" w:rsidRDefault="00B77D47" w:rsidP="00434364">
      <w:pPr>
        <w:pStyle w:val="Geenafstand"/>
        <w:rPr>
          <w:rFonts w:eastAsiaTheme="majorEastAsia"/>
          <w:lang w:val="es-ES"/>
        </w:rPr>
      </w:pPr>
    </w:p>
    <w:p w14:paraId="66B20487" w14:textId="77777777" w:rsidR="00B77D47" w:rsidRPr="00B77D47" w:rsidRDefault="00B77D47" w:rsidP="00434364">
      <w:pPr>
        <w:pStyle w:val="Geenafstand"/>
        <w:rPr>
          <w:rFonts w:eastAsiaTheme="majorEastAsia"/>
          <w:lang w:val="es-ES"/>
        </w:rPr>
      </w:pPr>
    </w:p>
    <w:p w14:paraId="5664A6A1" w14:textId="77777777" w:rsidR="00B77D47" w:rsidRPr="00B77D47" w:rsidRDefault="00B77D47" w:rsidP="00434364">
      <w:pPr>
        <w:pStyle w:val="Geenafstand"/>
        <w:rPr>
          <w:rFonts w:eastAsiaTheme="majorEastAsia"/>
          <w:lang w:val="es-ES"/>
        </w:rPr>
      </w:pPr>
    </w:p>
    <w:p w14:paraId="6E59446E" w14:textId="77777777" w:rsidR="00B77D47" w:rsidRPr="00434364" w:rsidRDefault="00B77D47" w:rsidP="00434364">
      <w:pPr>
        <w:pStyle w:val="Geenafstand"/>
        <w:rPr>
          <w:rFonts w:eastAsiaTheme="majorEastAsia"/>
          <w:b/>
          <w:bCs/>
          <w:color w:val="C00000"/>
          <w:sz w:val="32"/>
          <w:szCs w:val="32"/>
          <w:lang w:val="es-ES"/>
        </w:rPr>
      </w:pPr>
      <w:r w:rsidRPr="00434364">
        <w:rPr>
          <w:rFonts w:eastAsiaTheme="majorEastAsia"/>
          <w:b/>
          <w:bCs/>
          <w:color w:val="C00000"/>
          <w:sz w:val="32"/>
          <w:szCs w:val="32"/>
          <w:lang w:val="es-ES"/>
        </w:rPr>
        <w:t>Bleckmann y Abercrombie &amp; Fitch Co. amplían su alianza estratégica con un nuevo centro de distribución en Columbus, Ohio</w:t>
      </w:r>
    </w:p>
    <w:p w14:paraId="71A316E9" w14:textId="77777777" w:rsidR="00B77D47" w:rsidRPr="00B77D47" w:rsidRDefault="00B77D47" w:rsidP="00434364">
      <w:pPr>
        <w:pStyle w:val="Geenafstand"/>
        <w:rPr>
          <w:rFonts w:eastAsiaTheme="majorEastAsia"/>
          <w:lang w:val="es-ES"/>
        </w:rPr>
      </w:pPr>
    </w:p>
    <w:p w14:paraId="18B2D8AA" w14:textId="77777777" w:rsidR="00B77D47" w:rsidRPr="00B77D47" w:rsidRDefault="00B77D47" w:rsidP="00434364">
      <w:pPr>
        <w:pStyle w:val="Geenafstand"/>
        <w:rPr>
          <w:rFonts w:eastAsiaTheme="majorEastAsia"/>
          <w:lang w:val="es-ES"/>
        </w:rPr>
      </w:pPr>
      <w:r w:rsidRPr="00B77D47">
        <w:rPr>
          <w:rFonts w:eastAsiaTheme="majorEastAsia"/>
          <w:lang w:val="es-ES"/>
        </w:rPr>
        <w:t>Bleckmann, socio logístico y de cadena de suministro de las principales marcas de moda y estilo de vida del mundo, se enorgullece de anunciar un hito importante en su asociación con Abercrombie &amp; Fitch Co. (A&amp;F Co.). Las dos empresas abrirán un nuevo centro de distribución en Columbus, Ohio (EE. UU.), en 2026, lo que supone una importante ampliación de su colaboración estratégica.</w:t>
      </w:r>
    </w:p>
    <w:p w14:paraId="202EBA84" w14:textId="77777777" w:rsidR="00B77D47" w:rsidRPr="00B77D47" w:rsidRDefault="00B77D47" w:rsidP="00434364">
      <w:pPr>
        <w:pStyle w:val="Geenafstand"/>
        <w:rPr>
          <w:rFonts w:eastAsiaTheme="majorEastAsia"/>
          <w:lang w:val="es-ES"/>
        </w:rPr>
      </w:pPr>
    </w:p>
    <w:p w14:paraId="3BB61BBE" w14:textId="77777777" w:rsidR="00B77D47" w:rsidRPr="00B77D47" w:rsidRDefault="00B77D47" w:rsidP="00434364">
      <w:pPr>
        <w:pStyle w:val="Geenafstand"/>
        <w:rPr>
          <w:rFonts w:eastAsiaTheme="majorEastAsia"/>
          <w:lang w:val="es-ES"/>
        </w:rPr>
      </w:pPr>
      <w:r w:rsidRPr="00B77D47">
        <w:rPr>
          <w:rFonts w:eastAsiaTheme="majorEastAsia"/>
          <w:lang w:val="es-ES"/>
        </w:rPr>
        <w:t>«Estamos encantados de anunciar la apertura de un nuevo centro de distribución, que supone un hito importante en la mejora continua de nuestras operaciones. Estas instalaciones nos permitirán satisfacer mejor las necesidades cambiantes de nuestros clientes, mejorando la eficiencia, reduciendo los plazos de entrega y ampliando nuestra capacidad. Estamos orgullosos de trabajar con Bleckmann, un socio de confianza que ha sido fundamental para nuestro éxito durante varios años», afirmó Larry Grischow, vicepresidente ejecutivo de Cadena de Suministro y Adquisiciones de A&amp;F Co.</w:t>
      </w:r>
    </w:p>
    <w:p w14:paraId="54530DEE" w14:textId="77777777" w:rsidR="00B77D47" w:rsidRPr="00B77D47" w:rsidRDefault="00B77D47" w:rsidP="00434364">
      <w:pPr>
        <w:pStyle w:val="Geenafstand"/>
        <w:rPr>
          <w:rFonts w:eastAsiaTheme="majorEastAsia"/>
          <w:lang w:val="es-ES"/>
        </w:rPr>
      </w:pPr>
    </w:p>
    <w:p w14:paraId="114A4F5C" w14:textId="77777777" w:rsidR="00B77D47" w:rsidRPr="00913843" w:rsidRDefault="00B77D47" w:rsidP="00434364">
      <w:pPr>
        <w:pStyle w:val="Geenafstand"/>
        <w:rPr>
          <w:rFonts w:eastAsiaTheme="majorEastAsia"/>
          <w:b/>
          <w:bCs/>
          <w:color w:val="C00000"/>
          <w:sz w:val="24"/>
          <w:szCs w:val="24"/>
          <w:lang w:val="es-ES"/>
        </w:rPr>
      </w:pPr>
      <w:r w:rsidRPr="00913843">
        <w:rPr>
          <w:rFonts w:eastAsiaTheme="majorEastAsia"/>
          <w:b/>
          <w:bCs/>
          <w:color w:val="C00000"/>
          <w:sz w:val="24"/>
          <w:szCs w:val="24"/>
          <w:lang w:val="es-ES"/>
        </w:rPr>
        <w:t>Nuevas instalaciones en Columbus (Ohio)</w:t>
      </w:r>
    </w:p>
    <w:p w14:paraId="6AD3457A" w14:textId="77777777" w:rsidR="00B77D47" w:rsidRPr="00B77D47" w:rsidRDefault="00B77D47" w:rsidP="00434364">
      <w:pPr>
        <w:pStyle w:val="Geenafstand"/>
        <w:rPr>
          <w:rFonts w:eastAsiaTheme="majorEastAsia"/>
          <w:lang w:val="es-ES"/>
        </w:rPr>
      </w:pPr>
      <w:r w:rsidRPr="00B77D47">
        <w:rPr>
          <w:rFonts w:eastAsiaTheme="majorEastAsia"/>
          <w:lang w:val="es-ES"/>
        </w:rPr>
        <w:t>Las nuevas instalaciones, cuya apertura está prevista para el verano de 2026, respaldan la estrategia de crecimiento a largo plazo de A&amp;F Co. al reforzar aún más su capacidad de cumplimiento en Norteamérica. También reflejan el compromiso de Bleckmann con soluciones logísticas escalables y flexibles, adaptadas a las necesidades únicas de las marcas minoristas globales.</w:t>
      </w:r>
    </w:p>
    <w:p w14:paraId="461D36FB" w14:textId="77777777" w:rsidR="00B77D47" w:rsidRPr="00B77D47" w:rsidRDefault="00B77D47" w:rsidP="00434364">
      <w:pPr>
        <w:pStyle w:val="Geenafstand"/>
        <w:rPr>
          <w:rFonts w:eastAsiaTheme="majorEastAsia"/>
          <w:lang w:val="es-ES"/>
        </w:rPr>
      </w:pPr>
    </w:p>
    <w:p w14:paraId="69D3171E" w14:textId="77777777" w:rsidR="00B77D47" w:rsidRPr="00B77D47" w:rsidRDefault="00B77D47" w:rsidP="00434364">
      <w:pPr>
        <w:pStyle w:val="Geenafstand"/>
        <w:rPr>
          <w:rFonts w:eastAsiaTheme="majorEastAsia"/>
          <w:lang w:val="es-ES"/>
        </w:rPr>
      </w:pPr>
      <w:r w:rsidRPr="00B77D47">
        <w:rPr>
          <w:rFonts w:eastAsiaTheme="majorEastAsia"/>
          <w:lang w:val="es-ES"/>
        </w:rPr>
        <w:t>«Estamos muy contentos de profundizar nuestra relación con A&amp;F Co. a través de esta importante expansión», afirmó Kurt Pierloot, director ejecutivo de Bleckmann. «Este centro de distribución no solo mejorará la velocidad de comercialización de A&amp;F Co., sino que también proporcionará una solución logística sólida y preparada para el futuro, en línea con sus necesidades comerciales en constante evolución».</w:t>
      </w:r>
    </w:p>
    <w:p w14:paraId="622AD53B" w14:textId="77777777" w:rsidR="00B77D47" w:rsidRPr="00B77D47" w:rsidRDefault="00B77D47" w:rsidP="00434364">
      <w:pPr>
        <w:pStyle w:val="Geenafstand"/>
        <w:rPr>
          <w:rFonts w:eastAsiaTheme="majorEastAsia"/>
          <w:lang w:val="es-ES"/>
        </w:rPr>
      </w:pPr>
    </w:p>
    <w:p w14:paraId="20431187" w14:textId="77777777" w:rsidR="00B77D47" w:rsidRPr="00913843" w:rsidRDefault="00B77D47" w:rsidP="00434364">
      <w:pPr>
        <w:pStyle w:val="Geenafstand"/>
        <w:rPr>
          <w:rFonts w:eastAsiaTheme="majorEastAsia"/>
          <w:b/>
          <w:bCs/>
          <w:color w:val="C00000"/>
          <w:sz w:val="24"/>
          <w:szCs w:val="24"/>
          <w:lang w:val="es-ES"/>
        </w:rPr>
      </w:pPr>
      <w:r w:rsidRPr="00913843">
        <w:rPr>
          <w:rFonts w:eastAsiaTheme="majorEastAsia"/>
          <w:b/>
          <w:bCs/>
          <w:color w:val="C00000"/>
          <w:sz w:val="24"/>
          <w:szCs w:val="24"/>
          <w:lang w:val="es-ES"/>
        </w:rPr>
        <w:t>Gama completa de servicios logísticos y de cadena de suministro</w:t>
      </w:r>
    </w:p>
    <w:p w14:paraId="48041A65" w14:textId="77777777" w:rsidR="00B77D47" w:rsidRPr="00B77D47" w:rsidRDefault="00B77D47" w:rsidP="00434364">
      <w:pPr>
        <w:pStyle w:val="Geenafstand"/>
        <w:rPr>
          <w:rFonts w:eastAsiaTheme="majorEastAsia"/>
          <w:lang w:val="es-ES"/>
        </w:rPr>
      </w:pPr>
      <w:r w:rsidRPr="00B77D47">
        <w:rPr>
          <w:rFonts w:eastAsiaTheme="majorEastAsia"/>
          <w:lang w:val="es-ES"/>
        </w:rPr>
        <w:t>Este proyecto incluye un plan de implementación por fases para apoyar el crecimiento y la agilidad a largo plazo. Bleckmann proporcionará una gama completa de servicios logísticos y de cadena de suministro, incluyendo automatización, integración de infraestructura informática y opciones personalizadas de etiquetado de transportistas. La colaboración se basa en un acuerdo de nivel de servicio (SLA) y una hoja de ruta de implementación.</w:t>
      </w:r>
    </w:p>
    <w:p w14:paraId="607570ED" w14:textId="77777777" w:rsidR="00B77D47" w:rsidRPr="00B77D47" w:rsidRDefault="00B77D47" w:rsidP="00434364">
      <w:pPr>
        <w:pStyle w:val="Geenafstand"/>
        <w:rPr>
          <w:rFonts w:eastAsiaTheme="majorEastAsia"/>
          <w:lang w:val="es-ES"/>
        </w:rPr>
      </w:pPr>
    </w:p>
    <w:p w14:paraId="147A24F1" w14:textId="77777777" w:rsidR="00B77D47" w:rsidRPr="00B77D47" w:rsidRDefault="00B77D47" w:rsidP="00434364">
      <w:pPr>
        <w:pStyle w:val="Geenafstand"/>
        <w:rPr>
          <w:rFonts w:eastAsiaTheme="majorEastAsia"/>
          <w:lang w:val="es-ES"/>
        </w:rPr>
      </w:pPr>
      <w:r w:rsidRPr="00B77D47">
        <w:rPr>
          <w:rFonts w:eastAsiaTheme="majorEastAsia"/>
          <w:lang w:val="es-ES"/>
        </w:rPr>
        <w:t xml:space="preserve">«Este es un fantástico paso adelante en nuestra colaboración», añadió Quentin Godfirnon, director de operaciones de Bleckmann. «Estamos trabajando en estrecha colaboración con los equipos de A&amp;F Co. para garantizar que todos los hitos, desde la integración del sistema hasta su puesta en marcha, se cumplan con precisión y calidad». </w:t>
      </w:r>
    </w:p>
    <w:p w14:paraId="2CE7FA28" w14:textId="77777777" w:rsidR="00B77D47" w:rsidRPr="00B77D47" w:rsidRDefault="00B77D47" w:rsidP="00434364">
      <w:pPr>
        <w:pStyle w:val="Geenafstand"/>
        <w:rPr>
          <w:rFonts w:eastAsiaTheme="majorEastAsia"/>
          <w:lang w:val="es-ES"/>
        </w:rPr>
      </w:pPr>
    </w:p>
    <w:p w14:paraId="5A74AABE" w14:textId="77777777" w:rsidR="00B77D47" w:rsidRPr="00BA2B1B" w:rsidRDefault="00B77D47" w:rsidP="00434364">
      <w:pPr>
        <w:pStyle w:val="Geenafstand"/>
        <w:rPr>
          <w:rFonts w:eastAsiaTheme="majorEastAsia"/>
          <w:b/>
          <w:bCs/>
          <w:color w:val="C00000"/>
          <w:sz w:val="24"/>
          <w:szCs w:val="24"/>
          <w:lang w:val="es-ES"/>
        </w:rPr>
      </w:pPr>
      <w:r w:rsidRPr="00BA2B1B">
        <w:rPr>
          <w:rFonts w:eastAsiaTheme="majorEastAsia"/>
          <w:b/>
          <w:bCs/>
          <w:color w:val="C00000"/>
          <w:sz w:val="24"/>
          <w:szCs w:val="24"/>
          <w:lang w:val="es-ES"/>
        </w:rPr>
        <w:t>Acerca de Abercrombie &amp; Fitch Co.</w:t>
      </w:r>
    </w:p>
    <w:p w14:paraId="48C72F89" w14:textId="3967B6B9" w:rsidR="00B77D47" w:rsidRPr="00B77D47" w:rsidRDefault="00B77D47" w:rsidP="00434364">
      <w:pPr>
        <w:pStyle w:val="Geenafstand"/>
        <w:rPr>
          <w:rFonts w:eastAsiaTheme="majorEastAsia"/>
          <w:lang w:val="es-ES"/>
        </w:rPr>
      </w:pPr>
      <w:r w:rsidRPr="00B77D47">
        <w:rPr>
          <w:rFonts w:eastAsiaTheme="majorEastAsia"/>
          <w:lang w:val="es-ES"/>
        </w:rPr>
        <w:t xml:space="preserve">Abercrombie &amp; Fitch Co. (NYSE: ANF) es un minorista especializado global, digital y </w:t>
      </w:r>
      <w:proofErr w:type="spellStart"/>
      <w:r w:rsidRPr="00B77D47">
        <w:rPr>
          <w:rFonts w:eastAsiaTheme="majorEastAsia"/>
          <w:lang w:val="es-ES"/>
        </w:rPr>
        <w:t>omnicanal</w:t>
      </w:r>
      <w:proofErr w:type="spellEnd"/>
      <w:r w:rsidRPr="00B77D47">
        <w:rPr>
          <w:rFonts w:eastAsiaTheme="majorEastAsia"/>
          <w:lang w:val="es-ES"/>
        </w:rPr>
        <w:t xml:space="preserve"> de ropa y accesorios dirigido a niños y jóvenes, con surtidos seleccionados para satisfacer sus necesidades específicas de estilo de vida. La empresa gestiona una familia de marcas, entre las que se incluyen Abercrombie &amp; Fitch y Hollister, todas ellas comprometidas con ofrecer productos de calidad duradera y comodidad excepcional que ayuden a los clientes de todo el mundo en su camino hacia ser y convertirse en quienes son. Abercrombie &amp; Fitch Co. opera más de 790 tiendas bajo estas marcas en Norteamérica, Europa, Asia y Oriente Medio, así como los sitios de comercio electrónico </w:t>
      </w:r>
      <w:hyperlink r:id="rId9" w:history="1">
        <w:r w:rsidR="00622C04" w:rsidRPr="00CB0F9D">
          <w:rPr>
            <w:rStyle w:val="Hyperlink"/>
            <w:rFonts w:eastAsiaTheme="majorEastAsia"/>
            <w:lang w:val="es-ES"/>
          </w:rPr>
          <w:t>www.abercrombie.com</w:t>
        </w:r>
      </w:hyperlink>
      <w:r w:rsidR="00622C04">
        <w:rPr>
          <w:rFonts w:eastAsiaTheme="majorEastAsia"/>
          <w:lang w:val="es-ES"/>
        </w:rPr>
        <w:t xml:space="preserve"> </w:t>
      </w:r>
      <w:r w:rsidRPr="00B77D47">
        <w:rPr>
          <w:rFonts w:eastAsiaTheme="majorEastAsia"/>
          <w:lang w:val="es-ES"/>
        </w:rPr>
        <w:t xml:space="preserve">y </w:t>
      </w:r>
      <w:hyperlink r:id="rId10" w:history="1">
        <w:r w:rsidR="00622C04" w:rsidRPr="00CB0F9D">
          <w:rPr>
            <w:rStyle w:val="Hyperlink"/>
            <w:rFonts w:eastAsiaTheme="majorEastAsia"/>
            <w:lang w:val="es-ES"/>
          </w:rPr>
          <w:t>www.hollisterco.com</w:t>
        </w:r>
      </w:hyperlink>
      <w:r w:rsidR="00622C04">
        <w:rPr>
          <w:rFonts w:eastAsiaTheme="majorEastAsia"/>
          <w:lang w:val="es-ES"/>
        </w:rPr>
        <w:t xml:space="preserve"> </w:t>
      </w:r>
    </w:p>
    <w:p w14:paraId="1C7785EB" w14:textId="77777777" w:rsidR="00B77D47" w:rsidRPr="00B77D47" w:rsidRDefault="00B77D47" w:rsidP="00434364">
      <w:pPr>
        <w:pStyle w:val="Geenafstand"/>
        <w:rPr>
          <w:rFonts w:eastAsiaTheme="majorEastAsia"/>
          <w:lang w:val="es-ES"/>
        </w:rPr>
      </w:pPr>
    </w:p>
    <w:p w14:paraId="30595879" w14:textId="77777777" w:rsidR="00B77D47" w:rsidRPr="00BA2B1B" w:rsidRDefault="00B77D47" w:rsidP="00434364">
      <w:pPr>
        <w:pStyle w:val="Geenafstand"/>
        <w:rPr>
          <w:rFonts w:eastAsiaTheme="majorEastAsia"/>
          <w:b/>
          <w:bCs/>
          <w:color w:val="C00000"/>
          <w:sz w:val="24"/>
          <w:szCs w:val="24"/>
          <w:lang w:val="es-ES"/>
        </w:rPr>
      </w:pPr>
      <w:r w:rsidRPr="00BA2B1B">
        <w:rPr>
          <w:rFonts w:eastAsiaTheme="majorEastAsia"/>
          <w:b/>
          <w:bCs/>
          <w:color w:val="C00000"/>
          <w:sz w:val="24"/>
          <w:szCs w:val="24"/>
          <w:lang w:val="es-ES"/>
        </w:rPr>
        <w:t>Acerca de Bleckmann</w:t>
      </w:r>
    </w:p>
    <w:p w14:paraId="6EA3D419" w14:textId="77777777" w:rsidR="00B77D47" w:rsidRPr="00B77D47" w:rsidRDefault="00B77D47" w:rsidP="00434364">
      <w:pPr>
        <w:pStyle w:val="Geenafstand"/>
        <w:rPr>
          <w:rFonts w:eastAsiaTheme="majorEastAsia"/>
          <w:lang w:val="es-ES"/>
        </w:rPr>
      </w:pPr>
      <w:r w:rsidRPr="00B77D47">
        <w:rPr>
          <w:rFonts w:eastAsiaTheme="majorEastAsia"/>
          <w:lang w:val="es-ES"/>
        </w:rPr>
        <w:t xml:space="preserve">Bleckmann es líder del mercado en servicios de gestión de la cadena de suministro (SCM) para marcas de moda y estilo de vida. Fundada en 1862, Bleckmann pasó de ser una empresa de transporte a un proveedor de soluciones completas para la cadena de suministro con experiencia específica en el cumplimiento electrónico. Desde su sólida base en Europa, la empresa se expandió a Estados Unidos y Asia, lo que le permitió prestar servicio a clientes de todo el mundo. Sus inversiones y su amplia experiencia en soluciones de TI garantizan que Bleckmann ofrezca una plataforma unificada a sus clientes de todo el mundo. Alrededor de 6500 miembros del equipo están preparados para apoyar a los clientes de Bleckmann y cumplir sus promesas cada día. Con unas ventas de 641 millones de euros (ingresos en 2024), Bleckmann tiene la escala y la flexibilidad necesarias para proporcionar soluciones de primera clase a sus clientes. Para obtener más información, visite </w:t>
      </w:r>
      <w:hyperlink r:id="rId11" w:history="1">
        <w:r w:rsidRPr="00B77D47">
          <w:rPr>
            <w:rStyle w:val="Hyperlink"/>
            <w:rFonts w:eastAsiaTheme="majorEastAsia" w:cs="Calibri"/>
            <w:b/>
            <w:bCs/>
            <w:lang w:val="es-ES"/>
          </w:rPr>
          <w:t>www.bleckmann.com</w:t>
        </w:r>
      </w:hyperlink>
      <w:r w:rsidRPr="00B77D47">
        <w:rPr>
          <w:rFonts w:eastAsiaTheme="majorEastAsia"/>
          <w:lang w:val="es-ES"/>
        </w:rPr>
        <w:t xml:space="preserve"> </w:t>
      </w:r>
    </w:p>
    <w:p w14:paraId="1E0CC17D" w14:textId="77777777" w:rsidR="00B77D47" w:rsidRPr="00B77D47" w:rsidRDefault="00B77D47" w:rsidP="00434364">
      <w:pPr>
        <w:pStyle w:val="Geenafstand"/>
        <w:rPr>
          <w:rFonts w:eastAsiaTheme="majorEastAsia"/>
          <w:lang w:val="es-ES"/>
        </w:rPr>
      </w:pPr>
    </w:p>
    <w:p w14:paraId="6A679C5E" w14:textId="77777777" w:rsidR="00B77D47" w:rsidRPr="00B77D47" w:rsidRDefault="00B77D47" w:rsidP="00434364">
      <w:pPr>
        <w:pStyle w:val="Geenafstand"/>
        <w:rPr>
          <w:rFonts w:eastAsiaTheme="majorEastAsia"/>
          <w:lang w:val="es-ES"/>
        </w:rPr>
      </w:pPr>
    </w:p>
    <w:p w14:paraId="23E6B8B0" w14:textId="77777777" w:rsidR="00B77D47" w:rsidRPr="00B77D47" w:rsidRDefault="00B77D47" w:rsidP="00434364">
      <w:pPr>
        <w:pStyle w:val="Geenafstand"/>
        <w:rPr>
          <w:rFonts w:eastAsiaTheme="majorEastAsia"/>
          <w:lang w:val="es-ES"/>
        </w:rPr>
      </w:pPr>
    </w:p>
    <w:p w14:paraId="6547F90C" w14:textId="77777777" w:rsidR="00B77D47" w:rsidRPr="00B77D47" w:rsidRDefault="00B77D47" w:rsidP="00434364">
      <w:pPr>
        <w:pStyle w:val="Geenafstand"/>
        <w:rPr>
          <w:rFonts w:eastAsiaTheme="majorEastAsia"/>
          <w:lang w:val="es-ES"/>
        </w:rPr>
      </w:pPr>
    </w:p>
    <w:p w14:paraId="152A3BA5" w14:textId="77777777" w:rsidR="00B77D47" w:rsidRPr="00B77D47" w:rsidRDefault="00B77D47" w:rsidP="00434364">
      <w:pPr>
        <w:pStyle w:val="Geenafstand"/>
        <w:rPr>
          <w:rFonts w:eastAsiaTheme="majorEastAsia"/>
          <w:lang w:val="es-ES"/>
        </w:rPr>
      </w:pPr>
    </w:p>
    <w:p w14:paraId="103EED34" w14:textId="77777777" w:rsidR="00B77D47" w:rsidRPr="00B77D47" w:rsidRDefault="00B77D47" w:rsidP="00434364">
      <w:pPr>
        <w:pStyle w:val="Geenafstand"/>
        <w:rPr>
          <w:rFonts w:eastAsiaTheme="majorEastAsia"/>
          <w:lang w:val="es-ES"/>
        </w:rPr>
      </w:pPr>
    </w:p>
    <w:p w14:paraId="591EA993" w14:textId="77777777" w:rsidR="00B77D47" w:rsidRPr="00B77D47" w:rsidRDefault="00B77D47" w:rsidP="00434364">
      <w:pPr>
        <w:pStyle w:val="Geenafstand"/>
        <w:rPr>
          <w:rFonts w:eastAsiaTheme="majorEastAsia"/>
          <w:lang w:val="es-ES"/>
        </w:rPr>
      </w:pPr>
    </w:p>
    <w:p w14:paraId="085C4366" w14:textId="77777777" w:rsidR="00B77D47" w:rsidRDefault="00B77D47" w:rsidP="00434364">
      <w:pPr>
        <w:pStyle w:val="Geenafstand"/>
        <w:rPr>
          <w:rFonts w:eastAsiaTheme="majorEastAsia"/>
          <w:lang w:val="es-ES"/>
        </w:rPr>
      </w:pPr>
    </w:p>
    <w:p w14:paraId="356F830E" w14:textId="77777777" w:rsidR="00A8653F" w:rsidRDefault="00A8653F" w:rsidP="00434364">
      <w:pPr>
        <w:pStyle w:val="Geenafstand"/>
        <w:rPr>
          <w:rFonts w:eastAsiaTheme="majorEastAsia"/>
          <w:lang w:val="es-ES"/>
        </w:rPr>
      </w:pPr>
    </w:p>
    <w:p w14:paraId="29AA3EFC" w14:textId="77777777" w:rsidR="00A8653F" w:rsidRPr="00B77D47" w:rsidRDefault="00A8653F" w:rsidP="00434364">
      <w:pPr>
        <w:pStyle w:val="Geenafstand"/>
        <w:rPr>
          <w:rFonts w:eastAsiaTheme="majorEastAsia"/>
          <w:lang w:val="es-ES"/>
        </w:rPr>
      </w:pPr>
    </w:p>
    <w:p w14:paraId="56924F1C" w14:textId="77777777" w:rsidR="00B77D47" w:rsidRDefault="00B77D47" w:rsidP="00434364">
      <w:pPr>
        <w:pStyle w:val="Geenafstand"/>
        <w:rPr>
          <w:rFonts w:eastAsiaTheme="majorEastAsia"/>
          <w:b/>
          <w:bCs/>
          <w:color w:val="C00000"/>
          <w:sz w:val="24"/>
          <w:szCs w:val="24"/>
          <w:lang w:val="es-ES"/>
        </w:rPr>
      </w:pPr>
      <w:r w:rsidRPr="00BA2B1B">
        <w:rPr>
          <w:rFonts w:eastAsiaTheme="majorEastAsia"/>
          <w:b/>
          <w:bCs/>
          <w:color w:val="C00000"/>
          <w:sz w:val="24"/>
          <w:szCs w:val="24"/>
          <w:lang w:val="es-ES"/>
        </w:rPr>
        <w:t>Consultas de los medios de comunicación:</w:t>
      </w:r>
    </w:p>
    <w:p w14:paraId="4367C5F4" w14:textId="77777777" w:rsidR="00BA2B1B" w:rsidRPr="00BA2B1B" w:rsidRDefault="00BA2B1B" w:rsidP="00434364">
      <w:pPr>
        <w:pStyle w:val="Geenafstand"/>
        <w:rPr>
          <w:rFonts w:eastAsiaTheme="majorEastAsia"/>
          <w:b/>
          <w:bCs/>
          <w:color w:val="C00000"/>
          <w:sz w:val="24"/>
          <w:szCs w:val="24"/>
          <w:lang w:val="es-ES"/>
        </w:rPr>
      </w:pPr>
    </w:p>
    <w:p w14:paraId="0F00517A" w14:textId="77777777" w:rsidR="00F24203" w:rsidRPr="00A54CF6" w:rsidRDefault="00F24203" w:rsidP="00434364">
      <w:pPr>
        <w:pStyle w:val="Geenafstand"/>
        <w:rPr>
          <w:lang w:val="en-GB"/>
        </w:rPr>
      </w:pPr>
      <w:r w:rsidRPr="00A54CF6">
        <w:rPr>
          <w:lang w:val="en-GB"/>
        </w:rPr>
        <w:t xml:space="preserve">Dorota Tankink | Bleckmann Marketing &amp; Communication Manager </w:t>
      </w:r>
    </w:p>
    <w:p w14:paraId="1A4270BE" w14:textId="77777777" w:rsidR="00F24203" w:rsidRPr="00A54CF6" w:rsidRDefault="00F24203" w:rsidP="00434364">
      <w:pPr>
        <w:pStyle w:val="Geenafstand"/>
        <w:rPr>
          <w:lang w:val="en-GB"/>
        </w:rPr>
      </w:pPr>
      <w:r w:rsidRPr="00A54CF6">
        <w:rPr>
          <w:lang w:val="en-GB"/>
        </w:rPr>
        <w:t xml:space="preserve">+31 6 3012 9759 | </w:t>
      </w:r>
      <w:hyperlink r:id="rId12" w:history="1">
        <w:r w:rsidRPr="00A54CF6">
          <w:rPr>
            <w:rStyle w:val="Hyperlink"/>
            <w:rFonts w:cs="Calibri"/>
            <w:lang w:val="en-GB"/>
          </w:rPr>
          <w:t>dorota.tankink@bleckmann.com</w:t>
        </w:r>
      </w:hyperlink>
      <w:r w:rsidRPr="00A54CF6">
        <w:rPr>
          <w:lang w:val="en-GB"/>
        </w:rPr>
        <w:t xml:space="preserve"> </w:t>
      </w:r>
    </w:p>
    <w:p w14:paraId="01EBDE14" w14:textId="77777777" w:rsidR="00F24203" w:rsidRPr="00A54CF6" w:rsidRDefault="00F24203" w:rsidP="00434364">
      <w:pPr>
        <w:pStyle w:val="Geenafstand"/>
        <w:rPr>
          <w:lang w:val="en-GB"/>
        </w:rPr>
      </w:pPr>
    </w:p>
    <w:p w14:paraId="50B34975" w14:textId="77777777" w:rsidR="00F24203" w:rsidRPr="00A54CF6" w:rsidRDefault="00F24203" w:rsidP="00434364">
      <w:pPr>
        <w:pStyle w:val="Geenafstand"/>
        <w:rPr>
          <w:lang w:val="en-GB"/>
        </w:rPr>
      </w:pPr>
      <w:r w:rsidRPr="00A54CF6">
        <w:rPr>
          <w:lang w:val="en-GB"/>
        </w:rPr>
        <w:t>Gerard van der Zanden | Bleckmann Marketing &amp; Communication Coordinator</w:t>
      </w:r>
    </w:p>
    <w:p w14:paraId="0915DD15" w14:textId="77777777" w:rsidR="00F24203" w:rsidRPr="00A54CF6" w:rsidRDefault="00F24203" w:rsidP="00434364">
      <w:pPr>
        <w:pStyle w:val="Geenafstand"/>
        <w:rPr>
          <w:rStyle w:val="Hyperlink"/>
          <w:rFonts w:cs="Calibri"/>
          <w:lang w:val="en-GB"/>
        </w:rPr>
      </w:pPr>
      <w:r w:rsidRPr="00A54CF6">
        <w:rPr>
          <w:lang w:val="en-GB"/>
        </w:rPr>
        <w:t xml:space="preserve">+31 6 2258 6914 | </w:t>
      </w:r>
      <w:hyperlink r:id="rId13" w:history="1">
        <w:r w:rsidRPr="00A54CF6">
          <w:rPr>
            <w:rStyle w:val="Hyperlink"/>
            <w:rFonts w:cs="Calibri"/>
            <w:lang w:val="en-GB"/>
          </w:rPr>
          <w:t>gerard.vanderzanden@bleckmann.com</w:t>
        </w:r>
      </w:hyperlink>
      <w:r w:rsidRPr="00A54CF6">
        <w:rPr>
          <w:rStyle w:val="Hyperlink"/>
          <w:rFonts w:cs="Calibri"/>
          <w:lang w:val="en-GB"/>
        </w:rPr>
        <w:t xml:space="preserve"> </w:t>
      </w:r>
    </w:p>
    <w:p w14:paraId="74391A27" w14:textId="77777777" w:rsidR="00B4391C" w:rsidRPr="00A54CF6" w:rsidRDefault="00B4391C" w:rsidP="00434364">
      <w:pPr>
        <w:pStyle w:val="Geenafstand"/>
        <w:rPr>
          <w:lang w:val="en-GB"/>
        </w:rPr>
      </w:pPr>
    </w:p>
    <w:p w14:paraId="79947438" w14:textId="77777777" w:rsidR="007B61D7" w:rsidRPr="00A54CF6" w:rsidRDefault="005B4727" w:rsidP="00434364">
      <w:pPr>
        <w:pStyle w:val="Geenafstand"/>
        <w:rPr>
          <w:lang w:val="en-GB"/>
        </w:rPr>
      </w:pPr>
      <w:r w:rsidRPr="00A54CF6">
        <w:rPr>
          <w:lang w:val="en-GB"/>
        </w:rPr>
        <w:t>Mackenzie Gusweiler</w:t>
      </w:r>
      <w:r w:rsidR="00147B8C" w:rsidRPr="00A54CF6">
        <w:rPr>
          <w:lang w:val="en-US"/>
        </w:rPr>
        <w:t xml:space="preserve"> </w:t>
      </w:r>
      <w:r w:rsidR="009B265C" w:rsidRPr="00A54CF6">
        <w:rPr>
          <w:lang w:val="en-GB"/>
        </w:rPr>
        <w:t xml:space="preserve">| </w:t>
      </w:r>
      <w:r w:rsidR="007B61D7" w:rsidRPr="00A54CF6">
        <w:rPr>
          <w:lang w:val="en-GB"/>
        </w:rPr>
        <w:t>Abercrombie &amp; Fitch Co.</w:t>
      </w:r>
    </w:p>
    <w:p w14:paraId="5DEBD4DB" w14:textId="5D899A1F" w:rsidR="005C2155" w:rsidRPr="00A54CF6" w:rsidRDefault="00797701" w:rsidP="00434364">
      <w:pPr>
        <w:pStyle w:val="Geenafstand"/>
        <w:rPr>
          <w:lang w:val="fr-BE"/>
        </w:rPr>
      </w:pPr>
      <w:r w:rsidRPr="00A54CF6">
        <w:rPr>
          <w:lang w:val="fr-BE"/>
        </w:rPr>
        <w:t xml:space="preserve">+1 </w:t>
      </w:r>
      <w:r w:rsidR="007B61D7" w:rsidRPr="00A54CF6">
        <w:rPr>
          <w:lang w:val="fr-BE"/>
        </w:rPr>
        <w:t>614 283</w:t>
      </w:r>
      <w:r w:rsidRPr="00A54CF6">
        <w:rPr>
          <w:lang w:val="fr-BE"/>
        </w:rPr>
        <w:t xml:space="preserve"> </w:t>
      </w:r>
      <w:r w:rsidR="007B61D7" w:rsidRPr="00A54CF6">
        <w:rPr>
          <w:lang w:val="fr-BE"/>
        </w:rPr>
        <w:t>6192</w:t>
      </w:r>
      <w:r w:rsidR="007833A6" w:rsidRPr="00A54CF6">
        <w:rPr>
          <w:lang w:val="fr-BE"/>
        </w:rPr>
        <w:t xml:space="preserve"> | </w:t>
      </w:r>
      <w:hyperlink r:id="rId14" w:history="1">
        <w:r w:rsidR="007833A6" w:rsidRPr="00A54CF6">
          <w:rPr>
            <w:rStyle w:val="Hyperlink"/>
            <w:rFonts w:cs="Calibri"/>
            <w:lang w:val="fr-BE"/>
          </w:rPr>
          <w:t>Public_Relations@anfcorp.com</w:t>
        </w:r>
      </w:hyperlink>
    </w:p>
    <w:p w14:paraId="2F14CFF2" w14:textId="77777777" w:rsidR="00D10BF5" w:rsidRPr="00A54CF6" w:rsidRDefault="00D10BF5" w:rsidP="00434364">
      <w:pPr>
        <w:pStyle w:val="Geenafstand"/>
        <w:rPr>
          <w:lang w:val="fr-BE"/>
        </w:rPr>
      </w:pPr>
    </w:p>
    <w:sectPr w:rsidR="00D10BF5" w:rsidRPr="00A54CF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A849" w14:textId="77777777" w:rsidR="00151601" w:rsidRDefault="00151601" w:rsidP="00FF5975">
      <w:r>
        <w:separator/>
      </w:r>
    </w:p>
  </w:endnote>
  <w:endnote w:type="continuationSeparator" w:id="0">
    <w:p w14:paraId="47E48CED" w14:textId="77777777" w:rsidR="00151601" w:rsidRDefault="00151601" w:rsidP="00FF5975">
      <w:r>
        <w:continuationSeparator/>
      </w:r>
    </w:p>
  </w:endnote>
  <w:endnote w:type="continuationNotice" w:id="1">
    <w:p w14:paraId="4BCBB8F2" w14:textId="77777777" w:rsidR="00151601" w:rsidRDefault="00151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5C73" w14:textId="77777777" w:rsidR="00151601" w:rsidRDefault="00151601" w:rsidP="00FF5975">
      <w:r>
        <w:separator/>
      </w:r>
    </w:p>
  </w:footnote>
  <w:footnote w:type="continuationSeparator" w:id="0">
    <w:p w14:paraId="2FE3CE0C" w14:textId="77777777" w:rsidR="00151601" w:rsidRDefault="00151601" w:rsidP="00FF5975">
      <w:r>
        <w:continuationSeparator/>
      </w:r>
    </w:p>
  </w:footnote>
  <w:footnote w:type="continuationNotice" w:id="1">
    <w:p w14:paraId="1687A781" w14:textId="77777777" w:rsidR="00151601" w:rsidRDefault="00151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657195" w:rsidRDefault="00FF5975" w:rsidP="00FF5975">
    <w:pPr>
      <w:pStyle w:val="Koptekst"/>
      <w:tabs>
        <w:tab w:val="right" w:pos="9540"/>
      </w:tabs>
      <w:ind w:left="-540" w:right="-517"/>
      <w:jc w:val="right"/>
      <w:rPr>
        <w:b/>
        <w:sz w:val="20"/>
        <w:lang w:val="en-US"/>
      </w:rPr>
    </w:pPr>
    <w:r>
      <w:rPr>
        <w:noProof/>
        <w:sz w:val="20"/>
        <w:lang w:val="en-US"/>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747773" w:rsidRDefault="00FF5975" w:rsidP="00FF5975">
    <w:pPr>
      <w:pStyle w:val="Koptekst"/>
      <w:ind w:right="-517"/>
      <w:jc w:val="right"/>
      <w:rPr>
        <w:b/>
        <w:sz w:val="20"/>
        <w:lang w:val="en-US"/>
      </w:rPr>
    </w:pPr>
    <w:r w:rsidRPr="00747773">
      <w:rPr>
        <w:b/>
        <w:sz w:val="20"/>
        <w:lang w:val="en-US"/>
      </w:rPr>
      <w:t xml:space="preserve">bleckmann.com </w:t>
    </w:r>
  </w:p>
  <w:p w14:paraId="7CA524FC" w14:textId="77777777" w:rsidR="00FF5975" w:rsidRDefault="00FF5975" w:rsidP="00FF5975">
    <w:pPr>
      <w:pStyle w:val="Koptekst"/>
      <w:jc w:val="right"/>
      <w:rPr>
        <w:sz w:val="20"/>
        <w:lang w:val="en-US"/>
      </w:rPr>
    </w:pPr>
  </w:p>
  <w:p w14:paraId="6688E456" w14:textId="77777777" w:rsidR="00FF5975" w:rsidRDefault="00FF5975" w:rsidP="00FF5975">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1FDE920"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Default="00FF5975" w:rsidP="00FF5975">
    <w:pPr>
      <w:pStyle w:val="Koptekst"/>
      <w:jc w:val="right"/>
      <w:rPr>
        <w:sz w:val="20"/>
        <w:lang w:val="en-US"/>
      </w:rPr>
    </w:pPr>
  </w:p>
  <w:p w14:paraId="14D8023F" w14:textId="77777777" w:rsidR="00FF5975" w:rsidRDefault="00FF59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09A7"/>
    <w:rsid w:val="00001B5E"/>
    <w:rsid w:val="000030C2"/>
    <w:rsid w:val="000040BC"/>
    <w:rsid w:val="00005136"/>
    <w:rsid w:val="000070F1"/>
    <w:rsid w:val="00007BD3"/>
    <w:rsid w:val="00011AF4"/>
    <w:rsid w:val="000200A2"/>
    <w:rsid w:val="00036413"/>
    <w:rsid w:val="00036C8D"/>
    <w:rsid w:val="00044DD1"/>
    <w:rsid w:val="00050225"/>
    <w:rsid w:val="000517BE"/>
    <w:rsid w:val="00054EAC"/>
    <w:rsid w:val="0006349E"/>
    <w:rsid w:val="0007067D"/>
    <w:rsid w:val="00086712"/>
    <w:rsid w:val="000956E1"/>
    <w:rsid w:val="000A0BCA"/>
    <w:rsid w:val="000A175F"/>
    <w:rsid w:val="000A3890"/>
    <w:rsid w:val="000A3B62"/>
    <w:rsid w:val="000B5A1F"/>
    <w:rsid w:val="000C07DB"/>
    <w:rsid w:val="000C103A"/>
    <w:rsid w:val="000D040B"/>
    <w:rsid w:val="000D2873"/>
    <w:rsid w:val="000F6444"/>
    <w:rsid w:val="001017A5"/>
    <w:rsid w:val="001072BA"/>
    <w:rsid w:val="001129BA"/>
    <w:rsid w:val="00113DFB"/>
    <w:rsid w:val="00114B28"/>
    <w:rsid w:val="00117894"/>
    <w:rsid w:val="00121882"/>
    <w:rsid w:val="0012413C"/>
    <w:rsid w:val="001318FA"/>
    <w:rsid w:val="00132B1C"/>
    <w:rsid w:val="001367CC"/>
    <w:rsid w:val="00147B8C"/>
    <w:rsid w:val="0015153C"/>
    <w:rsid w:val="00151601"/>
    <w:rsid w:val="00153DE2"/>
    <w:rsid w:val="00155046"/>
    <w:rsid w:val="001552E8"/>
    <w:rsid w:val="0015538D"/>
    <w:rsid w:val="00155993"/>
    <w:rsid w:val="0019322B"/>
    <w:rsid w:val="001A5905"/>
    <w:rsid w:val="001B2FE1"/>
    <w:rsid w:val="001C77DC"/>
    <w:rsid w:val="001D30C3"/>
    <w:rsid w:val="001D3AE8"/>
    <w:rsid w:val="001E11C6"/>
    <w:rsid w:val="001E5FB2"/>
    <w:rsid w:val="001F5CA8"/>
    <w:rsid w:val="002168BF"/>
    <w:rsid w:val="002226E0"/>
    <w:rsid w:val="00225B36"/>
    <w:rsid w:val="00226996"/>
    <w:rsid w:val="00233730"/>
    <w:rsid w:val="00237708"/>
    <w:rsid w:val="0024486D"/>
    <w:rsid w:val="00244E64"/>
    <w:rsid w:val="00255C62"/>
    <w:rsid w:val="002818B5"/>
    <w:rsid w:val="002861EC"/>
    <w:rsid w:val="002918DE"/>
    <w:rsid w:val="002A307E"/>
    <w:rsid w:val="002A7564"/>
    <w:rsid w:val="002B28E3"/>
    <w:rsid w:val="002B549B"/>
    <w:rsid w:val="002B7705"/>
    <w:rsid w:val="002B7A09"/>
    <w:rsid w:val="002C00A2"/>
    <w:rsid w:val="002C318E"/>
    <w:rsid w:val="002C31C9"/>
    <w:rsid w:val="002C6606"/>
    <w:rsid w:val="002D2EFA"/>
    <w:rsid w:val="002E1863"/>
    <w:rsid w:val="002E497A"/>
    <w:rsid w:val="00300919"/>
    <w:rsid w:val="003036EE"/>
    <w:rsid w:val="00316772"/>
    <w:rsid w:val="00316BDA"/>
    <w:rsid w:val="00317C6B"/>
    <w:rsid w:val="00325FE1"/>
    <w:rsid w:val="0032606A"/>
    <w:rsid w:val="00326EFC"/>
    <w:rsid w:val="00345130"/>
    <w:rsid w:val="003629C3"/>
    <w:rsid w:val="00363CD6"/>
    <w:rsid w:val="00374A7C"/>
    <w:rsid w:val="0038544B"/>
    <w:rsid w:val="00385D6C"/>
    <w:rsid w:val="0038770C"/>
    <w:rsid w:val="00396F3D"/>
    <w:rsid w:val="003A0F2B"/>
    <w:rsid w:val="003A1C84"/>
    <w:rsid w:val="003A49A2"/>
    <w:rsid w:val="003A4C35"/>
    <w:rsid w:val="003B40ED"/>
    <w:rsid w:val="003B546C"/>
    <w:rsid w:val="003C26DC"/>
    <w:rsid w:val="003C4637"/>
    <w:rsid w:val="003E6619"/>
    <w:rsid w:val="00401293"/>
    <w:rsid w:val="00417B10"/>
    <w:rsid w:val="004259A8"/>
    <w:rsid w:val="004263B6"/>
    <w:rsid w:val="004300A8"/>
    <w:rsid w:val="00433B83"/>
    <w:rsid w:val="00433CD3"/>
    <w:rsid w:val="00434364"/>
    <w:rsid w:val="0043512C"/>
    <w:rsid w:val="00442CF6"/>
    <w:rsid w:val="004455A9"/>
    <w:rsid w:val="00451FB5"/>
    <w:rsid w:val="004715A0"/>
    <w:rsid w:val="0048732F"/>
    <w:rsid w:val="00490D9E"/>
    <w:rsid w:val="004916A1"/>
    <w:rsid w:val="004920A9"/>
    <w:rsid w:val="00492138"/>
    <w:rsid w:val="00496DAD"/>
    <w:rsid w:val="004A726F"/>
    <w:rsid w:val="004A79E1"/>
    <w:rsid w:val="004B6AE2"/>
    <w:rsid w:val="004C7554"/>
    <w:rsid w:val="004D17D9"/>
    <w:rsid w:val="004F014D"/>
    <w:rsid w:val="004F4032"/>
    <w:rsid w:val="004F62C8"/>
    <w:rsid w:val="00506F13"/>
    <w:rsid w:val="00506F30"/>
    <w:rsid w:val="00517F1E"/>
    <w:rsid w:val="0053648C"/>
    <w:rsid w:val="00542E9F"/>
    <w:rsid w:val="00552A8C"/>
    <w:rsid w:val="005570F7"/>
    <w:rsid w:val="00561C4F"/>
    <w:rsid w:val="00575611"/>
    <w:rsid w:val="005868F7"/>
    <w:rsid w:val="00595F6F"/>
    <w:rsid w:val="005A3955"/>
    <w:rsid w:val="005A55D1"/>
    <w:rsid w:val="005A5A66"/>
    <w:rsid w:val="005B4727"/>
    <w:rsid w:val="005C2155"/>
    <w:rsid w:val="005C306B"/>
    <w:rsid w:val="005C4F26"/>
    <w:rsid w:val="005D3886"/>
    <w:rsid w:val="005D7375"/>
    <w:rsid w:val="005F072C"/>
    <w:rsid w:val="005F4A5C"/>
    <w:rsid w:val="005F6353"/>
    <w:rsid w:val="005F669A"/>
    <w:rsid w:val="005F6916"/>
    <w:rsid w:val="006135FC"/>
    <w:rsid w:val="00620095"/>
    <w:rsid w:val="0062198C"/>
    <w:rsid w:val="00622610"/>
    <w:rsid w:val="00622C04"/>
    <w:rsid w:val="00630E35"/>
    <w:rsid w:val="00644379"/>
    <w:rsid w:val="00644B93"/>
    <w:rsid w:val="00654327"/>
    <w:rsid w:val="0066749B"/>
    <w:rsid w:val="00680926"/>
    <w:rsid w:val="006835B1"/>
    <w:rsid w:val="006B5CE6"/>
    <w:rsid w:val="006B5DBF"/>
    <w:rsid w:val="006C38DE"/>
    <w:rsid w:val="006D0445"/>
    <w:rsid w:val="006D6C2F"/>
    <w:rsid w:val="006D70A9"/>
    <w:rsid w:val="00711E28"/>
    <w:rsid w:val="00717309"/>
    <w:rsid w:val="00724195"/>
    <w:rsid w:val="007258BE"/>
    <w:rsid w:val="00733E7A"/>
    <w:rsid w:val="0073464A"/>
    <w:rsid w:val="0073579A"/>
    <w:rsid w:val="00742956"/>
    <w:rsid w:val="007514C1"/>
    <w:rsid w:val="0075322B"/>
    <w:rsid w:val="00754C65"/>
    <w:rsid w:val="007577B1"/>
    <w:rsid w:val="00761D1C"/>
    <w:rsid w:val="00774A20"/>
    <w:rsid w:val="007833A6"/>
    <w:rsid w:val="00784D73"/>
    <w:rsid w:val="00786AC2"/>
    <w:rsid w:val="00787108"/>
    <w:rsid w:val="00797701"/>
    <w:rsid w:val="007A1D8C"/>
    <w:rsid w:val="007B1AF3"/>
    <w:rsid w:val="007B61D7"/>
    <w:rsid w:val="007C1221"/>
    <w:rsid w:val="007C1A5A"/>
    <w:rsid w:val="007C6CC9"/>
    <w:rsid w:val="007E031E"/>
    <w:rsid w:val="007E157F"/>
    <w:rsid w:val="007E2138"/>
    <w:rsid w:val="007E3034"/>
    <w:rsid w:val="007E4A4A"/>
    <w:rsid w:val="007F1E07"/>
    <w:rsid w:val="0080296E"/>
    <w:rsid w:val="00803695"/>
    <w:rsid w:val="008219DA"/>
    <w:rsid w:val="00821B74"/>
    <w:rsid w:val="00824B2E"/>
    <w:rsid w:val="008340A7"/>
    <w:rsid w:val="0083729B"/>
    <w:rsid w:val="008544C4"/>
    <w:rsid w:val="008546F4"/>
    <w:rsid w:val="00862651"/>
    <w:rsid w:val="00865C9B"/>
    <w:rsid w:val="0086732E"/>
    <w:rsid w:val="008732F7"/>
    <w:rsid w:val="008746FC"/>
    <w:rsid w:val="0087664B"/>
    <w:rsid w:val="00877188"/>
    <w:rsid w:val="00884350"/>
    <w:rsid w:val="00884AC9"/>
    <w:rsid w:val="00890CB1"/>
    <w:rsid w:val="00893D5C"/>
    <w:rsid w:val="008A086C"/>
    <w:rsid w:val="008A3BF7"/>
    <w:rsid w:val="008B45C5"/>
    <w:rsid w:val="008C07B2"/>
    <w:rsid w:val="008C1398"/>
    <w:rsid w:val="008C1609"/>
    <w:rsid w:val="008D4CDF"/>
    <w:rsid w:val="00901D53"/>
    <w:rsid w:val="00904B5E"/>
    <w:rsid w:val="00907449"/>
    <w:rsid w:val="00912F70"/>
    <w:rsid w:val="0091345F"/>
    <w:rsid w:val="00913843"/>
    <w:rsid w:val="0092055D"/>
    <w:rsid w:val="0092598B"/>
    <w:rsid w:val="00930565"/>
    <w:rsid w:val="00947EF5"/>
    <w:rsid w:val="00960692"/>
    <w:rsid w:val="0096662F"/>
    <w:rsid w:val="00966DD8"/>
    <w:rsid w:val="00971A74"/>
    <w:rsid w:val="00971C84"/>
    <w:rsid w:val="0098190F"/>
    <w:rsid w:val="00990411"/>
    <w:rsid w:val="0099568F"/>
    <w:rsid w:val="009A0D25"/>
    <w:rsid w:val="009A6DD2"/>
    <w:rsid w:val="009A7D9A"/>
    <w:rsid w:val="009B265C"/>
    <w:rsid w:val="009C04E3"/>
    <w:rsid w:val="009C371B"/>
    <w:rsid w:val="009C77B8"/>
    <w:rsid w:val="009D3F5F"/>
    <w:rsid w:val="009D69A5"/>
    <w:rsid w:val="009E5114"/>
    <w:rsid w:val="009F0E54"/>
    <w:rsid w:val="009F158A"/>
    <w:rsid w:val="009F3AC4"/>
    <w:rsid w:val="009F72E9"/>
    <w:rsid w:val="00A027FD"/>
    <w:rsid w:val="00A05325"/>
    <w:rsid w:val="00A05497"/>
    <w:rsid w:val="00A077B5"/>
    <w:rsid w:val="00A12325"/>
    <w:rsid w:val="00A32F93"/>
    <w:rsid w:val="00A34281"/>
    <w:rsid w:val="00A37BB5"/>
    <w:rsid w:val="00A523D5"/>
    <w:rsid w:val="00A54CF6"/>
    <w:rsid w:val="00A571FA"/>
    <w:rsid w:val="00A57964"/>
    <w:rsid w:val="00A627E1"/>
    <w:rsid w:val="00A6664A"/>
    <w:rsid w:val="00A84463"/>
    <w:rsid w:val="00A8653F"/>
    <w:rsid w:val="00A92D13"/>
    <w:rsid w:val="00A933C9"/>
    <w:rsid w:val="00A94723"/>
    <w:rsid w:val="00A95900"/>
    <w:rsid w:val="00A96AA8"/>
    <w:rsid w:val="00AA06D5"/>
    <w:rsid w:val="00AC51D9"/>
    <w:rsid w:val="00AC7AD9"/>
    <w:rsid w:val="00AD43E1"/>
    <w:rsid w:val="00AD7959"/>
    <w:rsid w:val="00AE5061"/>
    <w:rsid w:val="00AF7951"/>
    <w:rsid w:val="00B023D2"/>
    <w:rsid w:val="00B04AF3"/>
    <w:rsid w:val="00B1715B"/>
    <w:rsid w:val="00B25D94"/>
    <w:rsid w:val="00B30026"/>
    <w:rsid w:val="00B33B08"/>
    <w:rsid w:val="00B4391C"/>
    <w:rsid w:val="00B61F5D"/>
    <w:rsid w:val="00B67E44"/>
    <w:rsid w:val="00B7098F"/>
    <w:rsid w:val="00B75FC7"/>
    <w:rsid w:val="00B77D47"/>
    <w:rsid w:val="00B80C36"/>
    <w:rsid w:val="00B80E37"/>
    <w:rsid w:val="00B82F11"/>
    <w:rsid w:val="00B84448"/>
    <w:rsid w:val="00B87E20"/>
    <w:rsid w:val="00B92719"/>
    <w:rsid w:val="00B92ECA"/>
    <w:rsid w:val="00BA2B1B"/>
    <w:rsid w:val="00BA4306"/>
    <w:rsid w:val="00BB5D61"/>
    <w:rsid w:val="00BB629E"/>
    <w:rsid w:val="00BD75C5"/>
    <w:rsid w:val="00BF1621"/>
    <w:rsid w:val="00BF24F2"/>
    <w:rsid w:val="00C07F41"/>
    <w:rsid w:val="00C167CD"/>
    <w:rsid w:val="00C235E6"/>
    <w:rsid w:val="00C24869"/>
    <w:rsid w:val="00C25E66"/>
    <w:rsid w:val="00C26FAD"/>
    <w:rsid w:val="00C459D4"/>
    <w:rsid w:val="00C5220D"/>
    <w:rsid w:val="00C5654E"/>
    <w:rsid w:val="00C63971"/>
    <w:rsid w:val="00C8711E"/>
    <w:rsid w:val="00C906C7"/>
    <w:rsid w:val="00CA0628"/>
    <w:rsid w:val="00CA5B9A"/>
    <w:rsid w:val="00CB3F05"/>
    <w:rsid w:val="00CC5E1A"/>
    <w:rsid w:val="00CC7078"/>
    <w:rsid w:val="00CC7FFC"/>
    <w:rsid w:val="00CD7DCF"/>
    <w:rsid w:val="00CE0129"/>
    <w:rsid w:val="00CE38A0"/>
    <w:rsid w:val="00CE7B4B"/>
    <w:rsid w:val="00CF42FB"/>
    <w:rsid w:val="00CF43A5"/>
    <w:rsid w:val="00CF5893"/>
    <w:rsid w:val="00D01821"/>
    <w:rsid w:val="00D02B51"/>
    <w:rsid w:val="00D10BF5"/>
    <w:rsid w:val="00D223AE"/>
    <w:rsid w:val="00D33582"/>
    <w:rsid w:val="00D339DE"/>
    <w:rsid w:val="00D37745"/>
    <w:rsid w:val="00D45DE2"/>
    <w:rsid w:val="00D508BC"/>
    <w:rsid w:val="00D55BF3"/>
    <w:rsid w:val="00D623B3"/>
    <w:rsid w:val="00D851C9"/>
    <w:rsid w:val="00D85CF3"/>
    <w:rsid w:val="00D91AFF"/>
    <w:rsid w:val="00DA2393"/>
    <w:rsid w:val="00DA3756"/>
    <w:rsid w:val="00DA412C"/>
    <w:rsid w:val="00DB7A1E"/>
    <w:rsid w:val="00DC197D"/>
    <w:rsid w:val="00DD064C"/>
    <w:rsid w:val="00DD2A9A"/>
    <w:rsid w:val="00DE7DAE"/>
    <w:rsid w:val="00DF2A29"/>
    <w:rsid w:val="00DF393A"/>
    <w:rsid w:val="00DF3BCB"/>
    <w:rsid w:val="00DF6496"/>
    <w:rsid w:val="00DF76EE"/>
    <w:rsid w:val="00E13278"/>
    <w:rsid w:val="00E2032F"/>
    <w:rsid w:val="00E2683C"/>
    <w:rsid w:val="00E3380E"/>
    <w:rsid w:val="00E34F32"/>
    <w:rsid w:val="00E37148"/>
    <w:rsid w:val="00E375FD"/>
    <w:rsid w:val="00E426CE"/>
    <w:rsid w:val="00E73148"/>
    <w:rsid w:val="00E7339A"/>
    <w:rsid w:val="00E76E6D"/>
    <w:rsid w:val="00E81A52"/>
    <w:rsid w:val="00E83673"/>
    <w:rsid w:val="00E90243"/>
    <w:rsid w:val="00E91734"/>
    <w:rsid w:val="00E966D8"/>
    <w:rsid w:val="00EA1EB5"/>
    <w:rsid w:val="00ED3289"/>
    <w:rsid w:val="00ED459A"/>
    <w:rsid w:val="00ED733C"/>
    <w:rsid w:val="00ED7E23"/>
    <w:rsid w:val="00EE12E1"/>
    <w:rsid w:val="00EE424B"/>
    <w:rsid w:val="00F133E0"/>
    <w:rsid w:val="00F1557A"/>
    <w:rsid w:val="00F20821"/>
    <w:rsid w:val="00F2134E"/>
    <w:rsid w:val="00F24203"/>
    <w:rsid w:val="00F32940"/>
    <w:rsid w:val="00F3596D"/>
    <w:rsid w:val="00F52689"/>
    <w:rsid w:val="00F53B78"/>
    <w:rsid w:val="00F5570E"/>
    <w:rsid w:val="00F64764"/>
    <w:rsid w:val="00F7421A"/>
    <w:rsid w:val="00F764AD"/>
    <w:rsid w:val="00F80D12"/>
    <w:rsid w:val="00F851A7"/>
    <w:rsid w:val="00F93D47"/>
    <w:rsid w:val="00FA0710"/>
    <w:rsid w:val="00FA2799"/>
    <w:rsid w:val="00FB60DB"/>
    <w:rsid w:val="00FB76A2"/>
    <w:rsid w:val="00FB7EFD"/>
    <w:rsid w:val="00FC2E22"/>
    <w:rsid w:val="00FD33C6"/>
    <w:rsid w:val="00FE1C2D"/>
    <w:rsid w:val="00FE4ADF"/>
    <w:rsid w:val="00FE73C0"/>
    <w:rsid w:val="00FF23DB"/>
    <w:rsid w:val="00FF5975"/>
    <w:rsid w:val="112D1265"/>
    <w:rsid w:val="1FFA15E0"/>
    <w:rsid w:val="266A6BDA"/>
    <w:rsid w:val="3376E8FF"/>
    <w:rsid w:val="3FCCA6FD"/>
    <w:rsid w:val="5A6DD5EA"/>
    <w:rsid w:val="5A940362"/>
    <w:rsid w:val="67470D74"/>
    <w:rsid w:val="769E7CC2"/>
    <w:rsid w:val="77FDAD89"/>
    <w:rsid w:val="79261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06D01EB7-1723-DF4A-8A01-1D43DA49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semiHidden/>
    <w:unhideWhenUsed/>
    <w:rsid w:val="00EE12E1"/>
    <w:rPr>
      <w:sz w:val="20"/>
      <w:szCs w:val="20"/>
    </w:rPr>
  </w:style>
  <w:style w:type="character" w:customStyle="1" w:styleId="TekstopmerkingChar">
    <w:name w:val="Tekst opmerking Char"/>
    <w:basedOn w:val="Standaardalinea-lettertype"/>
    <w:link w:val="Tekstopmerking"/>
    <w:uiPriority w:val="99"/>
    <w:semiHidden/>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character" w:styleId="GevolgdeHyperlink">
    <w:name w:val="FollowedHyperlink"/>
    <w:basedOn w:val="Standaardalinea-lettertype"/>
    <w:uiPriority w:val="99"/>
    <w:semiHidden/>
    <w:unhideWhenUsed/>
    <w:rsid w:val="00D223AE"/>
    <w:rPr>
      <w:color w:val="96607D" w:themeColor="followedHyperlink"/>
      <w:u w:val="single"/>
    </w:rPr>
  </w:style>
  <w:style w:type="paragraph" w:styleId="Revisie">
    <w:name w:val="Revision"/>
    <w:hidden/>
    <w:uiPriority w:val="99"/>
    <w:semiHidden/>
    <w:rsid w:val="00ED7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192114876">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618536538">
      <w:bodyDiv w:val="1"/>
      <w:marLeft w:val="0"/>
      <w:marRight w:val="0"/>
      <w:marTop w:val="0"/>
      <w:marBottom w:val="0"/>
      <w:divBdr>
        <w:top w:val="none" w:sz="0" w:space="0" w:color="auto"/>
        <w:left w:val="none" w:sz="0" w:space="0" w:color="auto"/>
        <w:bottom w:val="none" w:sz="0" w:space="0" w:color="auto"/>
        <w:right w:val="none" w:sz="0" w:space="0" w:color="auto"/>
      </w:divBdr>
    </w:div>
    <w:div w:id="816262921">
      <w:bodyDiv w:val="1"/>
      <w:marLeft w:val="0"/>
      <w:marRight w:val="0"/>
      <w:marTop w:val="0"/>
      <w:marBottom w:val="0"/>
      <w:divBdr>
        <w:top w:val="none" w:sz="0" w:space="0" w:color="auto"/>
        <w:left w:val="none" w:sz="0" w:space="0" w:color="auto"/>
        <w:bottom w:val="none" w:sz="0" w:space="0" w:color="auto"/>
        <w:right w:val="none" w:sz="0" w:space="0" w:color="auto"/>
      </w:divBdr>
    </w:div>
    <w:div w:id="1070038589">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178233334">
      <w:bodyDiv w:val="1"/>
      <w:marLeft w:val="0"/>
      <w:marRight w:val="0"/>
      <w:marTop w:val="0"/>
      <w:marBottom w:val="0"/>
      <w:divBdr>
        <w:top w:val="none" w:sz="0" w:space="0" w:color="auto"/>
        <w:left w:val="none" w:sz="0" w:space="0" w:color="auto"/>
        <w:bottom w:val="none" w:sz="0" w:space="0" w:color="auto"/>
        <w:right w:val="none" w:sz="0" w:space="0" w:color="auto"/>
      </w:divBdr>
    </w:div>
    <w:div w:id="1217669810">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33096362">
      <w:bodyDiv w:val="1"/>
      <w:marLeft w:val="0"/>
      <w:marRight w:val="0"/>
      <w:marTop w:val="0"/>
      <w:marBottom w:val="0"/>
      <w:divBdr>
        <w:top w:val="none" w:sz="0" w:space="0" w:color="auto"/>
        <w:left w:val="none" w:sz="0" w:space="0" w:color="auto"/>
        <w:bottom w:val="none" w:sz="0" w:space="0" w:color="auto"/>
        <w:right w:val="none" w:sz="0" w:space="0" w:color="auto"/>
      </w:divBdr>
    </w:div>
    <w:div w:id="1774401795">
      <w:bodyDiv w:val="1"/>
      <w:marLeft w:val="0"/>
      <w:marRight w:val="0"/>
      <w:marTop w:val="0"/>
      <w:marBottom w:val="0"/>
      <w:divBdr>
        <w:top w:val="none" w:sz="0" w:space="0" w:color="auto"/>
        <w:left w:val="none" w:sz="0" w:space="0" w:color="auto"/>
        <w:bottom w:val="none" w:sz="0" w:space="0" w:color="auto"/>
        <w:right w:val="none" w:sz="0" w:space="0" w:color="auto"/>
      </w:divBdr>
    </w:div>
    <w:div w:id="1781417494">
      <w:bodyDiv w:val="1"/>
      <w:marLeft w:val="0"/>
      <w:marRight w:val="0"/>
      <w:marTop w:val="0"/>
      <w:marBottom w:val="0"/>
      <w:divBdr>
        <w:top w:val="none" w:sz="0" w:space="0" w:color="auto"/>
        <w:left w:val="none" w:sz="0" w:space="0" w:color="auto"/>
        <w:bottom w:val="none" w:sz="0" w:space="0" w:color="auto"/>
        <w:right w:val="none" w:sz="0" w:space="0" w:color="auto"/>
      </w:divBdr>
    </w:div>
    <w:div w:id="19658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rard.vanderzanden@bleckmann.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orota.tankink@bleckman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eckmann.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ollisterco.com" TargetMode="External"/><Relationship Id="rId4" Type="http://schemas.openxmlformats.org/officeDocument/2006/relationships/styles" Target="styles.xml"/><Relationship Id="rId9" Type="http://schemas.openxmlformats.org/officeDocument/2006/relationships/hyperlink" Target="http://www.abercrombie.com" TargetMode="External"/><Relationship Id="rId14" Type="http://schemas.openxmlformats.org/officeDocument/2006/relationships/hyperlink" Target="mailto:Public_Relations@anf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b5aec9683e1ba574a7cfa1593c7cdf62">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3c3b1a647862f76c37c4cdb25dac9acf"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F37F8BDA-0C84-44FE-8C62-11EA7D06F1C1}">
  <ds:schemaRefs>
    <ds:schemaRef ds:uri="http://schemas.microsoft.com/sharepoint/v3/contenttype/forms"/>
  </ds:schemaRefs>
</ds:datastoreItem>
</file>

<file path=customXml/itemProps3.xml><?xml version="1.0" encoding="utf-8"?>
<ds:datastoreItem xmlns:ds="http://schemas.openxmlformats.org/officeDocument/2006/customXml" ds:itemID="{9FBF2899-93AA-4F72-9D2E-653DF6E05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49906-1735-468c-a4a8-7cc863cf5f66}" enabled="0" method="" siteId="{b6c49906-1735-468c-a4a8-7cc863cf5f66}"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806</Words>
  <Characters>4436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CharactersWithSpaces>
  <SharedDoc>false</SharedDoc>
  <HLinks>
    <vt:vector size="24" baseType="variant">
      <vt:variant>
        <vt:i4>3866685</vt:i4>
      </vt:variant>
      <vt:variant>
        <vt:i4>9</vt:i4>
      </vt:variant>
      <vt:variant>
        <vt:i4>0</vt:i4>
      </vt:variant>
      <vt:variant>
        <vt:i4>5</vt:i4>
      </vt:variant>
      <vt:variant>
        <vt:lpwstr>mailto:Public_Relations@anfcorp.com</vt:lpwstr>
      </vt:variant>
      <vt:variant>
        <vt:lpwstr/>
      </vt:variant>
      <vt:variant>
        <vt:i4>5898283</vt:i4>
      </vt:variant>
      <vt:variant>
        <vt:i4>6</vt:i4>
      </vt:variant>
      <vt:variant>
        <vt:i4>0</vt:i4>
      </vt:variant>
      <vt:variant>
        <vt:i4>5</vt:i4>
      </vt:variant>
      <vt:variant>
        <vt:lpwstr>mailto:gerard.vanderzanden@bleckmann.com</vt:lpwstr>
      </vt:variant>
      <vt:variant>
        <vt:lpwstr/>
      </vt:variant>
      <vt:variant>
        <vt:i4>4653107</vt:i4>
      </vt:variant>
      <vt:variant>
        <vt:i4>3</vt:i4>
      </vt:variant>
      <vt:variant>
        <vt:i4>0</vt:i4>
      </vt:variant>
      <vt:variant>
        <vt:i4>5</vt:i4>
      </vt:variant>
      <vt:variant>
        <vt:lpwstr>mailto:dorota.tankink@bleckmann.com</vt:lpwstr>
      </vt:variant>
      <vt:variant>
        <vt:lpwstr/>
      </vt:variant>
      <vt:variant>
        <vt:i4>4587549</vt:i4>
      </vt:variant>
      <vt:variant>
        <vt:i4>0</vt:i4>
      </vt:variant>
      <vt:variant>
        <vt:i4>0</vt:i4>
      </vt:variant>
      <vt:variant>
        <vt:i4>5</vt:i4>
      </vt:variant>
      <vt:variant>
        <vt:lpwstr>http://www.bleckmann.com/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13</cp:revision>
  <cp:lastPrinted>2024-10-25T22:10:00Z</cp:lastPrinted>
  <dcterms:created xsi:type="dcterms:W3CDTF">2025-08-12T11:50:00Z</dcterms:created>
  <dcterms:modified xsi:type="dcterms:W3CDTF">2025-10-07T09:41:00Z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0x010100223D676753916A4C8E53C8E5D5953171</vt:lpwstr>
  </property>
</Properties>
</file>